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EDFAF" w14:textId="77777777" w:rsidR="00B61801" w:rsidRDefault="00B61801" w:rsidP="00B61801">
      <w:pPr>
        <w:pStyle w:val="Nagwek"/>
        <w:jc w:val="right"/>
      </w:pPr>
      <w:r>
        <w:rPr>
          <w:noProof/>
          <w:lang w:val="pl-PL" w:eastAsia="pl-PL" w:bidi="ar-SA"/>
        </w:rPr>
        <w:drawing>
          <wp:anchor distT="0" distB="0" distL="114300" distR="114300" simplePos="0" relativeHeight="251660288" behindDoc="0" locked="0" layoutInCell="1" allowOverlap="1" wp14:anchorId="6C880C25" wp14:editId="3A46E3E6">
            <wp:simplePos x="0" y="0"/>
            <wp:positionH relativeFrom="column">
              <wp:posOffset>4037330</wp:posOffset>
            </wp:positionH>
            <wp:positionV relativeFrom="paragraph">
              <wp:posOffset>-378156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pl-PL" w:eastAsia="pl-PL" w:bidi="ar-SA"/>
        </w:rPr>
        <w:drawing>
          <wp:anchor distT="0" distB="0" distL="114300" distR="114300" simplePos="0" relativeHeight="251661312" behindDoc="0" locked="0" layoutInCell="1" allowOverlap="1" wp14:anchorId="4CA1BD27" wp14:editId="73E26FC2">
            <wp:simplePos x="0" y="0"/>
            <wp:positionH relativeFrom="column">
              <wp:posOffset>2494915</wp:posOffset>
            </wp:positionH>
            <wp:positionV relativeFrom="paragraph">
              <wp:posOffset>-448614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pl-PL" w:eastAsia="pl-PL" w:bidi="ar-SA"/>
        </w:rPr>
        <w:drawing>
          <wp:anchor distT="0" distB="0" distL="114300" distR="114300" simplePos="0" relativeHeight="251659264" behindDoc="0" locked="0" layoutInCell="1" allowOverlap="1" wp14:anchorId="50E66993" wp14:editId="326D0F3C">
            <wp:simplePos x="0" y="0"/>
            <wp:positionH relativeFrom="column">
              <wp:posOffset>-184785</wp:posOffset>
            </wp:positionH>
            <wp:positionV relativeFrom="paragraph">
              <wp:posOffset>-413081</wp:posOffset>
            </wp:positionV>
            <wp:extent cx="1778635" cy="75057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73C8B7" w14:textId="100CB0F1" w:rsidR="008E2DC3" w:rsidRDefault="008E2DC3" w:rsidP="00201B2A">
      <w:pPr>
        <w:pStyle w:val="Nagwek1"/>
        <w:jc w:val="center"/>
      </w:pPr>
    </w:p>
    <w:p w14:paraId="728ADC62" w14:textId="0FD3FB88" w:rsidR="00201B2A" w:rsidRPr="001B7308" w:rsidRDefault="00336F5E" w:rsidP="00201B2A">
      <w:pPr>
        <w:pStyle w:val="Nagwek1"/>
        <w:jc w:val="center"/>
        <w:rPr>
          <w:rFonts w:cstheme="majorHAnsi"/>
          <w:b/>
          <w:bCs/>
          <w:color w:val="002060"/>
          <w:sz w:val="28"/>
          <w:szCs w:val="28"/>
        </w:rPr>
      </w:pPr>
      <w:r w:rsidRPr="001B7308">
        <w:rPr>
          <w:rFonts w:cstheme="majorHAnsi"/>
          <w:b/>
          <w:bCs/>
          <w:color w:val="002060"/>
          <w:sz w:val="28"/>
          <w:szCs w:val="28"/>
        </w:rPr>
        <w:t>Procedury</w:t>
      </w:r>
      <w:r w:rsidR="00201B2A" w:rsidRPr="001B7308">
        <w:rPr>
          <w:rFonts w:cstheme="majorHAnsi"/>
          <w:b/>
          <w:bCs/>
          <w:color w:val="002060"/>
          <w:sz w:val="28"/>
          <w:szCs w:val="28"/>
        </w:rPr>
        <w:t xml:space="preserve"> </w:t>
      </w:r>
      <w:r w:rsidRPr="001B7308">
        <w:rPr>
          <w:rFonts w:cstheme="majorHAnsi"/>
          <w:b/>
          <w:bCs/>
          <w:color w:val="002060"/>
          <w:sz w:val="28"/>
          <w:szCs w:val="28"/>
        </w:rPr>
        <w:t xml:space="preserve">oceny wniosków o powierzenie grantów oraz wyboru </w:t>
      </w:r>
      <w:proofErr w:type="spellStart"/>
      <w:r w:rsidRPr="001B7308">
        <w:rPr>
          <w:rFonts w:cstheme="majorHAnsi"/>
          <w:b/>
          <w:bCs/>
          <w:color w:val="002060"/>
          <w:sz w:val="28"/>
          <w:szCs w:val="28"/>
        </w:rPr>
        <w:t>G</w:t>
      </w:r>
      <w:r w:rsidR="00201B2A" w:rsidRPr="001B7308">
        <w:rPr>
          <w:rFonts w:cstheme="majorHAnsi"/>
          <w:b/>
          <w:bCs/>
          <w:color w:val="002060"/>
          <w:sz w:val="28"/>
          <w:szCs w:val="28"/>
        </w:rPr>
        <w:t>rantobiorców</w:t>
      </w:r>
      <w:proofErr w:type="spellEnd"/>
    </w:p>
    <w:p w14:paraId="543589AC" w14:textId="77777777" w:rsidR="00201B2A" w:rsidRPr="001B7308" w:rsidRDefault="00201B2A" w:rsidP="00201B2A">
      <w:pPr>
        <w:rPr>
          <w:rFonts w:asciiTheme="majorHAnsi" w:hAnsiTheme="majorHAnsi" w:cstheme="majorHAnsi"/>
          <w:b/>
          <w:bCs/>
          <w:color w:val="002060"/>
        </w:rPr>
      </w:pPr>
    </w:p>
    <w:p w14:paraId="24EF5EE2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0" w:name="_Toc157374432"/>
      <w:r w:rsidRPr="001B7308">
        <w:rPr>
          <w:rFonts w:cstheme="majorHAnsi"/>
          <w:color w:val="002060"/>
          <w:sz w:val="24"/>
          <w:szCs w:val="24"/>
        </w:rPr>
        <w:t>Zakres procedur</w:t>
      </w:r>
      <w:bookmarkEnd w:id="0"/>
    </w:p>
    <w:p w14:paraId="0E17BDF3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§1</w:t>
      </w:r>
    </w:p>
    <w:p w14:paraId="3FDECF72" w14:textId="0BDCD6C4" w:rsidR="00201B2A" w:rsidRPr="001B7308" w:rsidRDefault="00201B2A" w:rsidP="00201B2A">
      <w:pPr>
        <w:pStyle w:val="Akapitzlist"/>
        <w:numPr>
          <w:ilvl w:val="0"/>
          <w:numId w:val="1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Procedury obejmują proces przeprowadzenia</w:t>
      </w:r>
      <w:r w:rsidR="00AE7779" w:rsidRPr="001B7308">
        <w:rPr>
          <w:rFonts w:asciiTheme="majorHAnsi" w:hAnsiTheme="majorHAnsi" w:cstheme="majorHAnsi"/>
        </w:rPr>
        <w:t xml:space="preserve"> naboru</w:t>
      </w:r>
      <w:r w:rsidRPr="001B7308">
        <w:rPr>
          <w:rFonts w:asciiTheme="majorHAnsi" w:hAnsiTheme="majorHAnsi" w:cstheme="majorHAnsi"/>
        </w:rPr>
        <w:t xml:space="preserve">, oceny i wyboru </w:t>
      </w:r>
      <w:proofErr w:type="spellStart"/>
      <w:r w:rsidR="00F716C9" w:rsidRPr="001B7308">
        <w:rPr>
          <w:rFonts w:asciiTheme="majorHAnsi" w:hAnsiTheme="majorHAnsi" w:cstheme="majorHAnsi"/>
        </w:rPr>
        <w:t>G</w:t>
      </w:r>
      <w:r w:rsidRPr="001B7308">
        <w:rPr>
          <w:rFonts w:asciiTheme="majorHAnsi" w:hAnsiTheme="majorHAnsi" w:cstheme="majorHAnsi"/>
        </w:rPr>
        <w:t>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61C91CC8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1" w:name="_Toc157374433"/>
      <w:r w:rsidRPr="001B7308">
        <w:rPr>
          <w:rFonts w:cstheme="majorHAnsi"/>
          <w:color w:val="002060"/>
          <w:sz w:val="24"/>
          <w:szCs w:val="24"/>
        </w:rPr>
        <w:t>Podstawy prawne</w:t>
      </w:r>
      <w:bookmarkEnd w:id="1"/>
    </w:p>
    <w:p w14:paraId="7B6212B9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§2</w:t>
      </w:r>
    </w:p>
    <w:p w14:paraId="7C753CE3" w14:textId="77777777" w:rsidR="00201B2A" w:rsidRPr="001B7308" w:rsidRDefault="00201B2A" w:rsidP="001B7308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Rozporządzenie 2021/1060 – rozporządzenie Parlamentu Europejskiego i Rady (UE) 20211060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</w:t>
      </w:r>
      <w:r w:rsidR="00EF7BD1" w:rsidRPr="001B7308">
        <w:rPr>
          <w:rFonts w:asciiTheme="majorHAnsi" w:hAnsiTheme="majorHAnsi" w:cstheme="majorHAnsi"/>
        </w:rPr>
        <w:t xml:space="preserve">.06.2021, str. 159, z </w:t>
      </w:r>
      <w:proofErr w:type="spellStart"/>
      <w:r w:rsidR="00EF7BD1" w:rsidRPr="001B7308">
        <w:rPr>
          <w:rFonts w:asciiTheme="majorHAnsi" w:hAnsiTheme="majorHAnsi" w:cstheme="majorHAnsi"/>
        </w:rPr>
        <w:t>późn</w:t>
      </w:r>
      <w:proofErr w:type="spellEnd"/>
      <w:r w:rsidR="00EF7BD1" w:rsidRPr="001B7308">
        <w:rPr>
          <w:rFonts w:asciiTheme="majorHAnsi" w:hAnsiTheme="majorHAnsi" w:cstheme="majorHAnsi"/>
        </w:rPr>
        <w:t>. zm.</w:t>
      </w:r>
      <w:r w:rsidRPr="001B7308">
        <w:rPr>
          <w:rFonts w:asciiTheme="majorHAnsi" w:hAnsiTheme="majorHAnsi" w:cstheme="majorHAnsi"/>
        </w:rPr>
        <w:t>);</w:t>
      </w:r>
    </w:p>
    <w:p w14:paraId="38ADD012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Ustawa RLKS – ustawa z dnia 20 lutego 2015 r. o rozwoju lokalnym z udziałem lokalnej społeczności</w:t>
      </w:r>
      <w:r w:rsidR="003D3FC6" w:rsidRPr="001B7308">
        <w:rPr>
          <w:rFonts w:asciiTheme="majorHAnsi" w:hAnsiTheme="majorHAnsi" w:cstheme="majorHAnsi"/>
        </w:rPr>
        <w:t xml:space="preserve"> (Dz. U. z 2023 r. poz. 1554 z późn.zm.)</w:t>
      </w:r>
      <w:r w:rsidRPr="001B7308">
        <w:rPr>
          <w:rFonts w:asciiTheme="majorHAnsi" w:hAnsiTheme="majorHAnsi" w:cstheme="majorHAnsi"/>
        </w:rPr>
        <w:t>;</w:t>
      </w:r>
    </w:p>
    <w:p w14:paraId="7F1402E6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Ustawa PS WPR – ustawa z dnia 8 lutego 2023 r. o Planie Strategicznym dla Wspólnej Polityki Rolnej na lata 2023–2027</w:t>
      </w:r>
      <w:r w:rsidR="003D3FC6" w:rsidRPr="001B7308">
        <w:rPr>
          <w:rFonts w:asciiTheme="majorHAnsi" w:hAnsiTheme="majorHAnsi" w:cstheme="majorHAnsi"/>
        </w:rPr>
        <w:t xml:space="preserve"> (Dz. U. z 2024 r. poz. 261  z </w:t>
      </w:r>
      <w:proofErr w:type="spellStart"/>
      <w:r w:rsidR="003D3FC6" w:rsidRPr="001B7308">
        <w:rPr>
          <w:rFonts w:asciiTheme="majorHAnsi" w:hAnsiTheme="majorHAnsi" w:cstheme="majorHAnsi"/>
        </w:rPr>
        <w:t>późn</w:t>
      </w:r>
      <w:proofErr w:type="spellEnd"/>
      <w:r w:rsidR="003D3FC6" w:rsidRPr="001B7308">
        <w:rPr>
          <w:rFonts w:asciiTheme="majorHAnsi" w:hAnsiTheme="majorHAnsi" w:cstheme="majorHAnsi"/>
        </w:rPr>
        <w:t>. zm.)</w:t>
      </w:r>
      <w:r w:rsidRPr="001B7308">
        <w:rPr>
          <w:rFonts w:asciiTheme="majorHAnsi" w:hAnsiTheme="majorHAnsi" w:cstheme="majorHAnsi"/>
        </w:rPr>
        <w:t>;</w:t>
      </w:r>
    </w:p>
    <w:p w14:paraId="3DC032E2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podstawowe - Wytyczne podstawowe w zakresie pomocy finansowej w ramach Planu Strategicznego dla Wspólnej Polityki Rolnej na lata 2023–2027;</w:t>
      </w:r>
    </w:p>
    <w:p w14:paraId="116CCF5D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wdrażanie LSR – Wytyczne szczegółowe w zakresie przyznawania i wypłaty pomocy finansowej w ramach Planu Strategicznego dla Wspólnej Polityki Rolnej na lata 2023–2027 dla interwencji I.13.1 LEADER/Rozwój Lokalny Kierowany przez Społeczność (RLKS);</w:t>
      </w:r>
    </w:p>
    <w:p w14:paraId="165BCC4C" w14:textId="77777777" w:rsidR="00201B2A" w:rsidRPr="001B7308" w:rsidRDefault="00201B2A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zarządzanie LSR - Wytyczne szczegółowe w zakresie przyznawania, wypłaty i zwrotu pomocy finansowej w ramach Planu Strategicznego dla Wspólnej Polityki Rolnej na lata 2023–2027 dla interwencji I.13.1 LEADER/Rozwój Lokalny Kierowany przez Społeczność (RLKS) – komponent Zarządzanie LSR;</w:t>
      </w:r>
    </w:p>
    <w:p w14:paraId="5C268CCF" w14:textId="77777777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w zakresie zasad ustalania kwoty dostępnych środków w ramach niektórych interwencji Planu Strategicznego dla Wspólnej Polityki Rolnej na lata 2023–2027;</w:t>
      </w:r>
    </w:p>
    <w:p w14:paraId="4DF4D2CA" w14:textId="77777777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Wytyczne szczegółowe w zakresie przygotowania i realizacji projektów grantowych w ramach Planu Strategicznego dla Wspólnej Polityki Rolnej na lata 2023–2027 dla interwencji I.13.1 LEADER/Rozwój Lokalny Kierowany przez Społeczność (RLKS) – komponent Wdrażanie LSR;</w:t>
      </w:r>
    </w:p>
    <w:p w14:paraId="4447774F" w14:textId="77777777" w:rsidR="003915B5" w:rsidRPr="001B7308" w:rsidRDefault="003915B5" w:rsidP="001B7308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Wytyczne w zakresie niektórych zasad dokonywania wyboru operacji lub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przez lokalne grupy działania.  </w:t>
      </w:r>
    </w:p>
    <w:p w14:paraId="04237763" w14:textId="77777777" w:rsidR="003915B5" w:rsidRDefault="003915B5" w:rsidP="003915B5">
      <w:pPr>
        <w:rPr>
          <w:rFonts w:asciiTheme="majorHAnsi" w:hAnsiTheme="majorHAnsi" w:cstheme="majorHAnsi"/>
        </w:rPr>
      </w:pPr>
    </w:p>
    <w:p w14:paraId="7BD89F61" w14:textId="77777777" w:rsidR="001B7308" w:rsidRPr="001B7308" w:rsidRDefault="001B7308" w:rsidP="003915B5">
      <w:pPr>
        <w:rPr>
          <w:rFonts w:asciiTheme="majorHAnsi" w:hAnsiTheme="majorHAnsi" w:cstheme="majorHAnsi"/>
        </w:rPr>
      </w:pPr>
    </w:p>
    <w:p w14:paraId="5AB94B36" w14:textId="77777777" w:rsidR="00201B2A" w:rsidRPr="001B7308" w:rsidRDefault="00201B2A" w:rsidP="000958DB">
      <w:pPr>
        <w:pStyle w:val="Nagwek2"/>
        <w:rPr>
          <w:rFonts w:cstheme="majorHAnsi"/>
          <w:color w:val="002060"/>
          <w:sz w:val="24"/>
          <w:szCs w:val="24"/>
        </w:rPr>
      </w:pPr>
      <w:bookmarkStart w:id="2" w:name="_Toc157374434"/>
      <w:r w:rsidRPr="001B7308">
        <w:rPr>
          <w:rFonts w:cstheme="majorHAnsi"/>
          <w:color w:val="002060"/>
          <w:sz w:val="24"/>
          <w:szCs w:val="24"/>
        </w:rPr>
        <w:lastRenderedPageBreak/>
        <w:t>Skróty użyte w procedurach</w:t>
      </w:r>
      <w:bookmarkEnd w:id="2"/>
    </w:p>
    <w:p w14:paraId="11873B06" w14:textId="77777777" w:rsidR="00201B2A" w:rsidRPr="001B7308" w:rsidRDefault="00201B2A" w:rsidP="00201B2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§3</w:t>
      </w:r>
    </w:p>
    <w:p w14:paraId="3B83041C" w14:textId="152F3281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 – Lokalna Grupa Działania „Owocowy Szlak”</w:t>
      </w:r>
    </w:p>
    <w:p w14:paraId="2C417C6A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LSR – Lokalna Strategia Rozwoju na lata 2023 – 2027 dla obszaru Lokalnej Grupy Działania „Owocowy Szlak”.</w:t>
      </w:r>
    </w:p>
    <w:p w14:paraId="674ECAF8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– organ decyzyjny Lokalnej Grupy Działania „Owocowy Szlak” o którym mowa art. 4  ust. 3 pkt 4 oraz ust. 4-7 ustawy RLKS;</w:t>
      </w:r>
    </w:p>
    <w:p w14:paraId="54CD6B7A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Zarząd LGD – Zarząd Lokalnej Grupy Działania „Owocowy Szlak” </w:t>
      </w:r>
    </w:p>
    <w:p w14:paraId="67A109ED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– Biuro Lokalnej Grupy Działania „Owocowy Szlak” </w:t>
      </w:r>
    </w:p>
    <w:p w14:paraId="2806A470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ZW – Zarząd Województwa Lubelskiego </w:t>
      </w:r>
    </w:p>
    <w:p w14:paraId="21DF2046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Agencja – Agencja Restrukturyzacji i Modernizacji Rolnictwa</w:t>
      </w:r>
    </w:p>
    <w:p w14:paraId="07E5F121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MRiRW</w:t>
      </w:r>
      <w:proofErr w:type="spellEnd"/>
      <w:r w:rsidRPr="001B7308">
        <w:rPr>
          <w:rFonts w:asciiTheme="majorHAnsi" w:hAnsiTheme="majorHAnsi" w:cstheme="majorHAnsi"/>
        </w:rPr>
        <w:t xml:space="preserve"> - Minister Rolnictwa i Rozwoju Wsi</w:t>
      </w:r>
    </w:p>
    <w:p w14:paraId="1B602E58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PS –WPR - Plan Strategiczny dla Wspólnej Polityki Rolnej na lata 2023–2027;</w:t>
      </w:r>
    </w:p>
    <w:p w14:paraId="53DEB804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Umowa ramowa - umowa o warunkach i sposobie realizacji LSR, o której mowa w ustawie RLKS;</w:t>
      </w:r>
    </w:p>
    <w:p w14:paraId="22464753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projekt grantowy – operacja, w ramach której LGD jako beneficjent powierza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grant oraz realizację zadania objętego tym grantem</w:t>
      </w:r>
    </w:p>
    <w:p w14:paraId="7D2AF4C5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– podmiot, któremu LGD powierzyła grant</w:t>
      </w:r>
    </w:p>
    <w:p w14:paraId="73FD1D8D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Grant – środki finansowe powierzone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przez LGD na podstawie umowy na realizację zadań służących osiągnięciu celu projektu grantowego</w:t>
      </w:r>
    </w:p>
    <w:p w14:paraId="5063B151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System IT LGD – system teleinformatyczny wspomagający przeprowadzenie konkursu, oceny i wyboru wniosków stosowany w LGD </w:t>
      </w:r>
    </w:p>
    <w:p w14:paraId="1B965D73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Dominanta - to wartość, która pojawia się najczęściej w zbiorze ocen.</w:t>
      </w:r>
    </w:p>
    <w:p w14:paraId="615C5F82" w14:textId="77777777" w:rsidR="001B7308" w:rsidRPr="001B7308" w:rsidRDefault="001B7308">
      <w:pPr>
        <w:pStyle w:val="Akapitzlist"/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Konflikt interesów - konflikt w rozumieniu art. 61 ust. 3 rozporządzenia 2018/1046. </w:t>
      </w:r>
    </w:p>
    <w:p w14:paraId="724287F5" w14:textId="77777777" w:rsidR="001B7308" w:rsidRPr="001B7308" w:rsidRDefault="00504262">
      <w:pPr>
        <w:pStyle w:val="Akapitzlist"/>
        <w:numPr>
          <w:ilvl w:val="0"/>
          <w:numId w:val="33"/>
        </w:numPr>
        <w:jc w:val="both"/>
      </w:pPr>
      <w:r w:rsidRPr="001B7308">
        <w:rPr>
          <w:rFonts w:asciiTheme="majorHAnsi" w:hAnsiTheme="majorHAnsi" w:cstheme="majorHAnsi"/>
        </w:rPr>
        <w:t xml:space="preserve">Konkurs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– otwarty konkurs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do realizacji zadań w ramach projektu grantowego</w:t>
      </w:r>
    </w:p>
    <w:p w14:paraId="3C6BDD81" w14:textId="3E26D191" w:rsidR="00504262" w:rsidRPr="001B7308" w:rsidRDefault="00504262">
      <w:pPr>
        <w:pStyle w:val="Akapitzlist"/>
        <w:numPr>
          <w:ilvl w:val="0"/>
          <w:numId w:val="33"/>
        </w:numPr>
        <w:jc w:val="both"/>
      </w:pPr>
      <w:r w:rsidRPr="001B7308">
        <w:rPr>
          <w:rFonts w:asciiTheme="majorHAnsi" w:hAnsiTheme="majorHAnsi" w:cstheme="majorHAnsi"/>
        </w:rPr>
        <w:t xml:space="preserve">Umowa o powierzenie grantu – umowa zawarta między LGD a </w:t>
      </w:r>
      <w:proofErr w:type="spellStart"/>
      <w:r w:rsidRPr="001B7308">
        <w:rPr>
          <w:rFonts w:asciiTheme="majorHAnsi" w:hAnsiTheme="majorHAnsi" w:cstheme="majorHAnsi"/>
        </w:rPr>
        <w:t>grantobiorcą</w:t>
      </w:r>
      <w:proofErr w:type="spellEnd"/>
      <w:r w:rsidRPr="001B7308">
        <w:rPr>
          <w:rFonts w:asciiTheme="majorHAnsi" w:hAnsiTheme="majorHAnsi" w:cstheme="majorHAnsi"/>
        </w:rPr>
        <w:t xml:space="preserve"> dotycząca realizacji zadania w ramach projektu grantowego.</w:t>
      </w:r>
    </w:p>
    <w:p w14:paraId="298104CE" w14:textId="16BA520E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t>Zasady</w:t>
      </w:r>
      <w:r w:rsidRPr="001B7308">
        <w:rPr>
          <w:rFonts w:cstheme="majorHAnsi"/>
          <w:color w:val="002060"/>
          <w:spacing w:val="-1"/>
          <w:sz w:val="24"/>
          <w:szCs w:val="24"/>
        </w:rPr>
        <w:t xml:space="preserve"> </w:t>
      </w:r>
      <w:r w:rsidRPr="001B7308">
        <w:rPr>
          <w:rFonts w:cstheme="majorHAnsi"/>
          <w:color w:val="002060"/>
          <w:spacing w:val="-2"/>
          <w:sz w:val="24"/>
          <w:szCs w:val="24"/>
        </w:rPr>
        <w:t>ogólne</w:t>
      </w:r>
    </w:p>
    <w:p w14:paraId="55A21692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§4</w:t>
      </w:r>
    </w:p>
    <w:p w14:paraId="2060CC7B" w14:textId="3C915AEF" w:rsidR="00AE7779" w:rsidRPr="001B7308" w:rsidRDefault="00AB3CAE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zawiera umowę z ZW na realizację projektu grantowego, o którym mowa w art. </w:t>
      </w:r>
      <w:r w:rsidR="00AE7779" w:rsidRPr="001B7308">
        <w:rPr>
          <w:rFonts w:asciiTheme="majorHAnsi" w:hAnsiTheme="majorHAnsi" w:cstheme="majorHAnsi"/>
        </w:rPr>
        <w:t>art. 17 ust. 3 pkt 1 ustawy RLKS.</w:t>
      </w:r>
    </w:p>
    <w:p w14:paraId="701453F5" w14:textId="147495A0" w:rsidR="000958DB" w:rsidRPr="001B7308" w:rsidRDefault="000958DB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przeprowadza otwarty </w:t>
      </w:r>
      <w:r w:rsidR="00354A21" w:rsidRPr="001B7308">
        <w:rPr>
          <w:rFonts w:asciiTheme="majorHAnsi" w:hAnsiTheme="majorHAnsi" w:cstheme="majorHAnsi"/>
        </w:rPr>
        <w:t>kon</w:t>
      </w:r>
      <w:r w:rsidR="00504262" w:rsidRPr="001B7308">
        <w:rPr>
          <w:rFonts w:asciiTheme="majorHAnsi" w:hAnsiTheme="majorHAnsi" w:cstheme="majorHAnsi"/>
        </w:rPr>
        <w:t>k</w:t>
      </w:r>
      <w:r w:rsidR="00354A21" w:rsidRPr="001B7308">
        <w:rPr>
          <w:rFonts w:asciiTheme="majorHAnsi" w:hAnsiTheme="majorHAnsi" w:cstheme="majorHAnsi"/>
        </w:rPr>
        <w:t xml:space="preserve">urs na wybór </w:t>
      </w:r>
      <w:proofErr w:type="spellStart"/>
      <w:r w:rsidR="00354A21"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, a następnie dokonuje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w ramach projektu grantowego.</w:t>
      </w:r>
    </w:p>
    <w:p w14:paraId="56E5D729" w14:textId="35F87615" w:rsidR="00807463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Wybor</w:t>
      </w:r>
      <w:r w:rsidR="00AE7779" w:rsidRPr="001B7308">
        <w:rPr>
          <w:rFonts w:asciiTheme="majorHAnsi" w:hAnsiTheme="majorHAnsi" w:cstheme="majorHAnsi"/>
        </w:rPr>
        <w:t>u</w:t>
      </w:r>
      <w:r w:rsidRPr="001B7308">
        <w:rPr>
          <w:rFonts w:asciiTheme="majorHAnsi" w:hAnsiTheme="majorHAnsi" w:cstheme="majorHAnsi"/>
        </w:rPr>
        <w:t xml:space="preserve">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dokonuje się na podstawie kryteriów wyboru</w:t>
      </w:r>
      <w:r w:rsidR="00545536" w:rsidRPr="001B7308">
        <w:rPr>
          <w:rFonts w:asciiTheme="majorHAnsi" w:hAnsiTheme="majorHAnsi" w:cstheme="majorHAnsi"/>
        </w:rPr>
        <w:t>.</w:t>
      </w:r>
    </w:p>
    <w:p w14:paraId="4A7C3528" w14:textId="77777777" w:rsidR="00807463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udziela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wsparcia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na realizację grantu na podstawie umowy</w:t>
      </w:r>
      <w:r w:rsidRPr="001B7308">
        <w:rPr>
          <w:rFonts w:asciiTheme="majorHAnsi" w:hAnsiTheme="majorHAnsi" w:cstheme="majorHAnsi"/>
          <w:spacing w:val="-2"/>
        </w:rPr>
        <w:t>.</w:t>
      </w:r>
    </w:p>
    <w:p w14:paraId="7D5F0E5E" w14:textId="42B71E0A" w:rsidR="00504262" w:rsidRPr="001B7308" w:rsidRDefault="00807463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</w:t>
      </w:r>
      <w:r w:rsidR="00D060B6" w:rsidRPr="001B7308">
        <w:rPr>
          <w:rFonts w:asciiTheme="majorHAnsi" w:hAnsiTheme="majorHAnsi" w:cstheme="majorHAnsi"/>
        </w:rPr>
        <w:t xml:space="preserve">przeprowadza </w:t>
      </w:r>
      <w:r w:rsidR="00354A21" w:rsidRPr="001B7308">
        <w:rPr>
          <w:rFonts w:asciiTheme="majorHAnsi" w:hAnsiTheme="majorHAnsi" w:cstheme="majorHAnsi"/>
        </w:rPr>
        <w:t xml:space="preserve">konkurs na wybór </w:t>
      </w:r>
      <w:proofErr w:type="spellStart"/>
      <w:r w:rsidR="00354A21" w:rsidRPr="001B7308">
        <w:rPr>
          <w:rFonts w:asciiTheme="majorHAnsi" w:hAnsiTheme="majorHAnsi" w:cstheme="majorHAnsi"/>
        </w:rPr>
        <w:t>grantobiorców</w:t>
      </w:r>
      <w:proofErr w:type="spellEnd"/>
      <w:r w:rsidR="00354A21" w:rsidRPr="001B7308" w:rsidDel="00354A21">
        <w:rPr>
          <w:rFonts w:asciiTheme="majorHAnsi" w:hAnsiTheme="majorHAnsi" w:cstheme="majorHAnsi"/>
        </w:rPr>
        <w:t xml:space="preserve"> </w:t>
      </w:r>
      <w:r w:rsidR="00D060B6" w:rsidRPr="001B7308">
        <w:rPr>
          <w:rFonts w:asciiTheme="majorHAnsi" w:hAnsiTheme="majorHAnsi" w:cstheme="majorHAnsi"/>
        </w:rPr>
        <w:t>oraz dokonuje wyboru</w:t>
      </w:r>
      <w:r w:rsidRPr="001B7308">
        <w:rPr>
          <w:rFonts w:asciiTheme="majorHAnsi" w:hAnsiTheme="majorHAnsi" w:cstheme="majorHAnsi"/>
        </w:rPr>
        <w:t xml:space="preserve">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w systemie </w:t>
      </w:r>
      <w:r w:rsidR="00F716C9" w:rsidRPr="001B7308">
        <w:rPr>
          <w:rFonts w:asciiTheme="majorHAnsi" w:hAnsiTheme="majorHAnsi" w:cstheme="majorHAnsi"/>
        </w:rPr>
        <w:t xml:space="preserve">IT LGD </w:t>
      </w:r>
      <w:r w:rsidRPr="001B7308">
        <w:rPr>
          <w:rFonts w:asciiTheme="majorHAnsi" w:hAnsiTheme="majorHAnsi" w:cstheme="majorHAnsi"/>
        </w:rPr>
        <w:t>gwarantującym bezpieczeństwo danych osobowych</w:t>
      </w:r>
      <w:r w:rsidR="00504262" w:rsidRPr="001B7308">
        <w:rPr>
          <w:rFonts w:asciiTheme="majorHAnsi" w:hAnsiTheme="majorHAnsi" w:cstheme="majorHAnsi"/>
        </w:rPr>
        <w:t>.</w:t>
      </w:r>
    </w:p>
    <w:p w14:paraId="492A04E8" w14:textId="14B94DCF" w:rsidR="00504262" w:rsidRPr="00B004AB" w:rsidRDefault="00504262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color w:val="EE0000"/>
        </w:rPr>
      </w:pPr>
      <w:r w:rsidRPr="001B7308">
        <w:rPr>
          <w:rFonts w:asciiTheme="majorHAnsi" w:hAnsiTheme="majorHAnsi" w:cstheme="majorHAnsi"/>
        </w:rPr>
        <w:t xml:space="preserve">Komunikacja z wnioskodawcami oraz </w:t>
      </w:r>
      <w:proofErr w:type="spellStart"/>
      <w:r w:rsidRPr="001B7308">
        <w:rPr>
          <w:rFonts w:asciiTheme="majorHAnsi" w:hAnsiTheme="majorHAnsi" w:cstheme="majorHAnsi"/>
        </w:rPr>
        <w:t>grantobiorcami</w:t>
      </w:r>
      <w:proofErr w:type="spellEnd"/>
      <w:r w:rsidRPr="001B7308">
        <w:rPr>
          <w:rFonts w:asciiTheme="majorHAnsi" w:hAnsiTheme="majorHAnsi" w:cstheme="majorHAnsi"/>
        </w:rPr>
        <w:t xml:space="preserve">  odbywała się będzie za pomocą systemu IT </w:t>
      </w:r>
      <w:r w:rsidRPr="00D6517F">
        <w:rPr>
          <w:rFonts w:asciiTheme="majorHAnsi" w:hAnsiTheme="majorHAnsi" w:cstheme="majorHAnsi"/>
        </w:rPr>
        <w:t>LGD</w:t>
      </w:r>
      <w:r w:rsidR="00B004AB" w:rsidRPr="00D6517F">
        <w:rPr>
          <w:rFonts w:asciiTheme="majorHAnsi" w:hAnsiTheme="majorHAnsi" w:cstheme="majorHAnsi"/>
        </w:rPr>
        <w:t xml:space="preserve"> lub w formie pisemnej.</w:t>
      </w:r>
    </w:p>
    <w:p w14:paraId="18519348" w14:textId="77777777" w:rsidR="001B7308" w:rsidRDefault="001B7308" w:rsidP="001B7308">
      <w:pPr>
        <w:jc w:val="both"/>
        <w:rPr>
          <w:rFonts w:asciiTheme="majorHAnsi" w:hAnsiTheme="majorHAnsi" w:cstheme="majorHAnsi"/>
        </w:rPr>
      </w:pPr>
    </w:p>
    <w:p w14:paraId="31677D6C" w14:textId="77777777" w:rsidR="001B7308" w:rsidRPr="001B7308" w:rsidRDefault="001B7308" w:rsidP="001B7308">
      <w:pPr>
        <w:jc w:val="both"/>
        <w:rPr>
          <w:rFonts w:asciiTheme="majorHAnsi" w:hAnsiTheme="majorHAnsi" w:cstheme="majorHAnsi"/>
        </w:rPr>
      </w:pPr>
    </w:p>
    <w:p w14:paraId="0D73DE63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lastRenderedPageBreak/>
        <w:t xml:space="preserve">Ogłoszenie </w:t>
      </w:r>
      <w:r w:rsidR="00354A21" w:rsidRPr="001B7308">
        <w:rPr>
          <w:rFonts w:cstheme="majorHAnsi"/>
          <w:color w:val="002060"/>
          <w:sz w:val="24"/>
          <w:szCs w:val="24"/>
        </w:rPr>
        <w:t xml:space="preserve">konkursu </w:t>
      </w:r>
      <w:r w:rsidRPr="001B7308">
        <w:rPr>
          <w:rFonts w:cstheme="majorHAnsi"/>
          <w:color w:val="002060"/>
          <w:sz w:val="24"/>
          <w:szCs w:val="24"/>
        </w:rPr>
        <w:t>i przyjmowani</w:t>
      </w:r>
      <w:r w:rsidR="00354A21" w:rsidRPr="001B7308">
        <w:rPr>
          <w:rFonts w:cstheme="majorHAnsi"/>
          <w:color w:val="002060"/>
          <w:sz w:val="24"/>
          <w:szCs w:val="24"/>
        </w:rPr>
        <w:t>e</w:t>
      </w:r>
      <w:r w:rsidRPr="001B7308">
        <w:rPr>
          <w:rFonts w:cstheme="majorHAnsi"/>
          <w:color w:val="002060"/>
          <w:sz w:val="24"/>
          <w:szCs w:val="24"/>
        </w:rPr>
        <w:t xml:space="preserve"> wniosków o powierzenie grantu w ramach projektu grantowego</w:t>
      </w:r>
    </w:p>
    <w:p w14:paraId="31273FA0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§5</w:t>
      </w:r>
    </w:p>
    <w:p w14:paraId="1C0FA98B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zawarciu przez LGD umowy na realizację projektu grantowego z ZW biuro przygotowuje ogłoszenie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1FE7EDA6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Ogłoszenie o konkursie spełnia wymagania Wytycznych szczegółowych w zakresie przygotowania i realizacji projektów grantowych (VI.2.).</w:t>
      </w:r>
    </w:p>
    <w:p w14:paraId="1F94BCF8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zamieszcza ogłoszenie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 w:rsidDel="00354A21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>w szczególności na swojej stronie internetowej nie wcześniej niż 30 dni i nie później niż 14 dni przed planowanym terminem rozpoczęcia biegu terminu składania wniosków.</w:t>
      </w:r>
    </w:p>
    <w:p w14:paraId="28222A65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 Zmiana treści ogłoszenia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oraz kryteriów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i ustalonych w odniesieniu do danego konkursu wymogów jest dopuszczalna wyłącznie w sytuacji, w której w ramach danego konkursu nie złożono jeszcze wniosku o powierzenie grantu. Zmiana ta skutkuje wydłużeniem terminu składania wniosków o powierzenie grantów o czas niezbędny do przygotowania i złożenia wniosku o powierzenie grantu.</w:t>
      </w:r>
    </w:p>
    <w:p w14:paraId="41C1364A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może odstąpić od konkursu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jeżeli:</w:t>
      </w:r>
    </w:p>
    <w:p w14:paraId="2C4C874E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terminie składania wniosków nie złożono żadnego wniosku, </w:t>
      </w:r>
    </w:p>
    <w:p w14:paraId="0EEF8DAF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wystąpiła istotna zmiana okoliczności powodująca, że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nie leży w interesie publicznym, czego nie można było wcześniej przewidzieć, </w:t>
      </w:r>
    </w:p>
    <w:p w14:paraId="171B3DF4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postępowanie jest obarczone niemożliwą do usunięcia wada prawną, </w:t>
      </w:r>
    </w:p>
    <w:p w14:paraId="0B248925" w14:textId="77777777" w:rsidR="00504262" w:rsidRPr="001B7308" w:rsidRDefault="00504262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została rozwiązania z ZW umowa o przyznanie pomocy na projekt grantowy/ odstąpiono od umowy o przyznanie pomocy na projekt grantowy.</w:t>
      </w:r>
    </w:p>
    <w:p w14:paraId="13ADF935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Informację o odstąpieniu od konkursu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oraz jego przyczynach LGD niezwłocznie zamieszcza na stronie internetowej oraz przekazuje wnioskodawcom za pomocą systemu IT LGD. Informacja ta nie stanowi podstawy do wniesienia odwołania.  Jeżeli konkurs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zostanie unieważniony, wsparcie na wniosek w ramach tego konkursu nie przysługuje. </w:t>
      </w:r>
    </w:p>
    <w:p w14:paraId="143E128A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sytuacji braku możliwości osiągnięcia celów projektu grantowego, na podstawie złożonych wniosków o powierzenie grantów lub na skutek rezygnacji przez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z realizacji zadań lub rozwiązania umów o powierzenie grantów LGD może przeprowadzić uzupełniający konkurs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2C59F906" w14:textId="77777777" w:rsidR="00504262" w:rsidRPr="001B7308" w:rsidRDefault="00504262">
      <w:pPr>
        <w:pStyle w:val="Akapitzlist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archiwizuje na swojej stronie internetowej wszystkie ogłoszenia dotyczące konkursów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do dnia upływu 5 lat od dnia wypłaty pomocy LGD na dany projekt grantowy. Podgląd treści tych ogłoszeń powinien być możliwy przez każdy podmiot odwiedzający stronę internetową LGD.</w:t>
      </w:r>
    </w:p>
    <w:p w14:paraId="2B905BEA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§6</w:t>
      </w:r>
    </w:p>
    <w:p w14:paraId="0639DC29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składany jest do LGD w terminie i formie wskazanych w ogłoszeniu o 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3869AED4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wniosku o powierzenie grantu stanowi Załącznik nr 1.</w:t>
      </w:r>
    </w:p>
    <w:p w14:paraId="23EC1909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jest przygotowywany (wypełniany) w systemie IT LGD w wersji elektronicznej. Generator wniosku w ramach danego konkursu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dostępny jest na stronie internetowej LGD od dnia i godziny rozpoczęcia konkursu i aktywny jest do dnia i godziny zakończenia konkursu. </w:t>
      </w:r>
    </w:p>
    <w:p w14:paraId="3D57D327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problemów technicznych z dostępem do Generatora wniosków, LGD może wydłużyć jego aktywność o czas niedostępności, o czym LGD informuje na swojej stronie internetowej.</w:t>
      </w:r>
    </w:p>
    <w:p w14:paraId="70085452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Wniosek o powierzenie grantu wypełniany jest elektronicznie i może być drukowany z wersji elektronicznej z Generatora wniosków. </w:t>
      </w:r>
    </w:p>
    <w:p w14:paraId="6E9FB3EE" w14:textId="77777777" w:rsid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Skuteczne złożenie wniosku polega na wysłaniu go drogą elektroniczną w systemie IT LGD. Data i godzina tego zdarzenia traktowana jest jako data złożenia wniosku.</w:t>
      </w:r>
    </w:p>
    <w:p w14:paraId="621E6AA0" w14:textId="2AFE08AE" w:rsidR="00504262" w:rsidRP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Załączniki do wniosku o powierzenie grantu lub innego pisma w toku postępowania, dołącza się jako dokumenty utworzone za pomocą systemu IT LGD, a w przypadku, gdy stanowią dokumenty wymagające opatrzenia podpisem przez osobę trzecią, dołącza się je w postaci elektronicznej jako: </w:t>
      </w:r>
    </w:p>
    <w:p w14:paraId="43ED5717" w14:textId="77777777" w:rsidR="00504262" w:rsidRPr="001B7308" w:rsidRDefault="0050426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dokumenty opatrzone przez tę osobę kwalifikowanym podpisem elektronicznym, podpisem osobistym albo podpisem zaufanym, albo </w:t>
      </w:r>
    </w:p>
    <w:p w14:paraId="0332D477" w14:textId="77777777" w:rsidR="00504262" w:rsidRPr="001B7308" w:rsidRDefault="00504262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elektroniczne kopie dokumentów sporządzonych w postaci papierowej i opatrzonych przez tę osobę podpisem własnoręcznym, zapisane w formacie pdf.</w:t>
      </w:r>
    </w:p>
    <w:p w14:paraId="500D9B2B" w14:textId="7122A501" w:rsidR="00504262" w:rsidRPr="001B7308" w:rsidRDefault="00504262">
      <w:pPr>
        <w:pStyle w:val="Akapitzlist"/>
        <w:numPr>
          <w:ilvl w:val="0"/>
          <w:numId w:val="34"/>
        </w:numP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Potwierdzeniem skutecznego złożenia wniosku jest dla wnioskodawcy Potwierdzenie Złożenia Wniosku (PZW) dostępne w systemie IT LGD.</w:t>
      </w:r>
    </w:p>
    <w:p w14:paraId="35069478" w14:textId="77777777" w:rsidR="00504262" w:rsidRPr="001B7308" w:rsidRDefault="00504262" w:rsidP="00504262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§7</w:t>
      </w:r>
    </w:p>
    <w:p w14:paraId="587A93E3" w14:textId="206F3F4D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ma prawo do wycofania wniosku na każdym etapie jego składania i oceny. Wniosek wycofany traktuje się jako niezłożony, co odnotowuje się w rejestrze złożonych wniosków</w:t>
      </w:r>
      <w:r w:rsidR="001B7308">
        <w:rPr>
          <w:rFonts w:asciiTheme="majorHAnsi" w:hAnsiTheme="majorHAnsi" w:cstheme="majorHAnsi"/>
        </w:rPr>
        <w:t xml:space="preserve">. </w:t>
      </w:r>
    </w:p>
    <w:p w14:paraId="71885290" w14:textId="77777777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Wycofanie odbywa się na prośbę Wnioskodawcy. Wycofania wniosku można dokonać w systemie IT LGD, jednocześnie informując o tym w formie pisemnej Biuro LGD.</w:t>
      </w:r>
    </w:p>
    <w:p w14:paraId="15D45C1F" w14:textId="77777777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prowadzi rejestr wniosków, które zostały złożone w danym konkursie. Rejestr generowany jest przez system IT LGD i zawiera informacje na temat każdego ze złożonych wniosków, w szczególności: nazwę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>, datę i czas złożenia wniosku, znak sprawy, tytuł zadania.</w:t>
      </w:r>
    </w:p>
    <w:p w14:paraId="0EDEC3D7" w14:textId="77777777" w:rsidR="00504262" w:rsidRPr="001B7308" w:rsidRDefault="00504262">
      <w:pPr>
        <w:pStyle w:val="Akapitzlist"/>
        <w:numPr>
          <w:ilvl w:val="0"/>
          <w:numId w:val="35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rejestru wniosków stanowi Załącznik nr 2. </w:t>
      </w:r>
    </w:p>
    <w:p w14:paraId="130BD9E3" w14:textId="77777777" w:rsidR="00504262" w:rsidRPr="001B7308" w:rsidRDefault="00504262">
      <w:pPr>
        <w:pStyle w:val="Akapitzlist"/>
        <w:keepLines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Wnioskodawca, który wycofał wniosek, może ponownie złożyć wniosek w ramach tego samego konkursu, o ile nie dobiegł końca termin tego konkursu.</w:t>
      </w:r>
    </w:p>
    <w:p w14:paraId="48B29795" w14:textId="77777777" w:rsidR="00504262" w:rsidRPr="001B7308" w:rsidRDefault="00504262">
      <w:pPr>
        <w:pStyle w:val="Akapitzlist"/>
        <w:numPr>
          <w:ilvl w:val="0"/>
          <w:numId w:val="35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Wycofanie wniosku o powierzenie grantu nie znosi obowiązku podjęcia przez LGD odpowiednich działań wynikających z przepisów prawa w przypadku, gdy istnieje podejrzenie popełnienia przestępstwa w związku z danym wnioskiem o powierzenie grantu.</w:t>
      </w:r>
    </w:p>
    <w:p w14:paraId="218FFF71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Forma dokonywania oceny i wyboru </w:t>
      </w:r>
      <w:proofErr w:type="spellStart"/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grantobiorców</w:t>
      </w:r>
      <w:proofErr w:type="spellEnd"/>
    </w:p>
    <w:p w14:paraId="2C476419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§8</w:t>
      </w:r>
    </w:p>
    <w:p w14:paraId="2BD9A634" w14:textId="77777777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LGD dokonują oceny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drogą elektroniczną za pośrednictwem systemu IT LGD. Warunkiem jest zapewnienie dostępu do systemu za pomocą unikalnych, indywidulanych dla każdego użytkownika loginów i haseł. </w:t>
      </w:r>
    </w:p>
    <w:p w14:paraId="57C9E76A" w14:textId="77777777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ramach oceny zarówno wypełnianie kart jak i zatwierdzanie wyniku oceny odbywa się w sposób elektroniczny. Powstałe w procesie oceny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dokumenty muszą jednoznacznie wskazywać kto dokonał oceny lub jej zatwierdzenia.</w:t>
      </w:r>
    </w:p>
    <w:p w14:paraId="77BFB521" w14:textId="77777777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Dokumenty oceny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wytworzone w systemie IT LGD nie wymagają podpisu, chyba że niniejsze procedury stanowią inaczej. </w:t>
      </w:r>
    </w:p>
    <w:p w14:paraId="1094BB36" w14:textId="77777777" w:rsidR="00504262" w:rsidRPr="001B7308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Ocena wniosków o powierzenie grantów, jest dokonywana pod kątem spełnienia wymagań określonych w ogłoszeniu konkursu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, w tym zgodności z zakresem projektu grantowego, w szczególności z zadaniem, które ma być przez tego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realizowane.</w:t>
      </w:r>
    </w:p>
    <w:p w14:paraId="34DEC2C9" w14:textId="77777777" w:rsidR="00504262" w:rsidRDefault="00504262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Zasady archiwizacji dokumentów zawarte są w rozdziale Udostępnianie dokumentacji oraz jej archiwizacja.</w:t>
      </w:r>
    </w:p>
    <w:p w14:paraId="72EA2E62" w14:textId="77777777" w:rsidR="001B7308" w:rsidRPr="001B7308" w:rsidRDefault="001B7308" w:rsidP="001B7308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360"/>
        <w:rPr>
          <w:rFonts w:asciiTheme="majorHAnsi" w:hAnsiTheme="majorHAnsi" w:cstheme="majorHAnsi"/>
        </w:rPr>
      </w:pPr>
    </w:p>
    <w:p w14:paraId="1E2318D1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Zapewnienie bezstronności oraz braku konfliktu interesów</w:t>
      </w:r>
    </w:p>
    <w:p w14:paraId="437BC173" w14:textId="77777777" w:rsidR="008B777A" w:rsidRPr="001B7308" w:rsidRDefault="008B777A" w:rsidP="001B7308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§9</w:t>
      </w:r>
    </w:p>
    <w:p w14:paraId="6621D78B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prowadzi rejestr interesów każdego członka Rady LGD.  Rejestr interesów tworzony jest  przed ogłoszeniem pierwszego naboru wniosków powierzenie grantów i aktualizowany przed każdym posiedzeniem członków Rady LGD. </w:t>
      </w:r>
    </w:p>
    <w:p w14:paraId="3B56E296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Rejestr interesów opracowywany jest przez Biuro LGD na podstawie </w:t>
      </w:r>
      <w:r w:rsidRPr="001B7308">
        <w:rPr>
          <w:rFonts w:asciiTheme="majorHAnsi" w:eastAsia="Calibri" w:hAnsiTheme="majorHAnsi" w:cstheme="majorHAnsi"/>
        </w:rPr>
        <w:t>Oświadczenia o interesach i powiązaniach, które to oświadczenie składane jest przez każdego z członków Rady LGD p</w:t>
      </w:r>
      <w:r w:rsidRPr="001B7308">
        <w:rPr>
          <w:rFonts w:asciiTheme="majorHAnsi" w:hAnsiTheme="majorHAnsi" w:cstheme="majorHAnsi"/>
        </w:rPr>
        <w:t xml:space="preserve">rzed przystąpieniem do oceny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0F3F6E56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Oświadczenie o interesach i powiązaniach stanowi załącznik nr 3</w:t>
      </w:r>
    </w:p>
    <w:p w14:paraId="0F78848E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Rejestru interesów członka Rady LGD stanowi Załącznik nr 4.</w:t>
      </w:r>
    </w:p>
    <w:p w14:paraId="1D81EE9D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Informacje zawarte w rejestrze interesów są decydujące dla przypisania członka Rady LGD do określonej grupy interesu, a także mogą służyć do stwierdzenia występowania konfliktu interesów.</w:t>
      </w:r>
    </w:p>
    <w:p w14:paraId="1CABCB43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Aktualność danych ujętych w Rejestrze interesów członków Rady LGD sprawdzana jest przed każdym posiedzeniem członków Rady LGD.</w:t>
      </w:r>
    </w:p>
    <w:p w14:paraId="05A19519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Przed przystąpieniem do oceny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każdy z członków Rady LGD oraz pracownicy Biura LGD zaangażowani w opracowanie materiałów pomocniczych wypełniają Oświadczenie o braku konfliktu interesów i zachowaniu poufności w stosunku do każdego wniosku. </w:t>
      </w:r>
    </w:p>
    <w:p w14:paraId="22E185B3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System agreguje wprowadzone informacje i na ich podstawie generuje Oświadczenie o braku konfliktu interesów i zachowaniu poufności członka Rady oraz pracownika Biura do wszystkich wniosków złożonych w danym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.</w:t>
      </w:r>
    </w:p>
    <w:p w14:paraId="40D2DE8C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Oświadczenie o konflikcie interesów stanowi załącznik nr 5.</w:t>
      </w:r>
    </w:p>
    <w:p w14:paraId="74B07560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nieujawnienia konfliktu interesów członkowie Rady LGD podlegają odpowiedzialności regulaminowej określonej w Regulaminie Rady, a pracownicy Biura LGD odpowiedzialności dyscyplinarnej zgodnie z Kodeksem Pracy.</w:t>
      </w:r>
    </w:p>
    <w:p w14:paraId="3093DFE2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Każdy z członków Rady LGD posiada w systemie IT LGD dostęp do wniosków i załączonych do nich dokumentów wszystkich wnioskodawców, niezależnie od tego czy wyłączył się z ich oceny. </w:t>
      </w:r>
    </w:p>
    <w:p w14:paraId="3400AC41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Członek Rady LGD, który nie zadeklaruje bezstronności w stosunku do wniosku jest wyłączony z oceny co najmniej tego wniosku oraz z podjęcia decyzji w sprawie wyboru tego wniosku (uchwały indywidualnej dotyczącej tego wniosku). </w:t>
      </w:r>
    </w:p>
    <w:p w14:paraId="18DD1A93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Pracownik Biura LGD, który nie zadeklaruje bezstronności w stosunku do wniosku jest wyłączony z procesu przygotowywania materiałów pomocniczych dotyczących tego wniosku, które mogą być wykorzystane podczas oceny wniosku 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. Materiały te nie stanowią oceny wniosku.</w:t>
      </w:r>
    </w:p>
    <w:p w14:paraId="75512E86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Biuro LGD sprawdza czy nie doszło do działania w sytuacji konfliktu interesów. Odbywa się to na podstawie weryfikacji oświadczeń członków Rady LGD poprzez analizę ich powiązań osobowych i kapitałowych z wnioskodawcami przykładowo przy użyciu rejestru interesów, ogólnodostępnych baz danych, takich jak </w:t>
      </w:r>
      <w:proofErr w:type="spellStart"/>
      <w:r w:rsidRPr="001B7308">
        <w:rPr>
          <w:rFonts w:asciiTheme="majorHAnsi" w:hAnsiTheme="majorHAnsi" w:cstheme="majorHAnsi"/>
        </w:rPr>
        <w:t>CEiDG</w:t>
      </w:r>
      <w:proofErr w:type="spellEnd"/>
      <w:r w:rsidRPr="001B7308">
        <w:rPr>
          <w:rFonts w:asciiTheme="majorHAnsi" w:hAnsiTheme="majorHAnsi" w:cstheme="majorHAnsi"/>
        </w:rPr>
        <w:t xml:space="preserve"> lub KRS czy informacji uzyskanych od sygnalistów.</w:t>
      </w:r>
    </w:p>
    <w:p w14:paraId="4672C291" w14:textId="77777777" w:rsidR="00504262" w:rsidRPr="001B7308" w:rsidRDefault="00504262">
      <w:pPr>
        <w:pStyle w:val="Akapitzlist"/>
        <w:numPr>
          <w:ilvl w:val="0"/>
          <w:numId w:val="37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Biuro LGD zapewnia ślad rewizyjny z przeprowadzonych czynności weryfikujących czy nie wystąpił konflikt interesów.</w:t>
      </w:r>
    </w:p>
    <w:p w14:paraId="3B9F0021" w14:textId="77777777" w:rsidR="00504262" w:rsidRPr="001B7308" w:rsidRDefault="00504262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związku z koniecznością spełnienia wymogu, zgodnie z którym pojedyncza grupa interesu nie kontroluje decyzji w sprawie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określonego w art. 31 ust. 2b oraz art. 33 ust. 3 lit. b rozporządzenia 2021/1060, Biuro LGD sprawdza czy w przypadku dokonywania wyboru każdego z wniosków spełnione są powyższe warunki.</w:t>
      </w:r>
    </w:p>
    <w:p w14:paraId="5DD4C874" w14:textId="77777777" w:rsidR="00504262" w:rsidRPr="001B7308" w:rsidRDefault="00504262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Grupy interesów są badane dla każdego wniosku o powierzenie grantu odrębnie.</w:t>
      </w:r>
    </w:p>
    <w:p w14:paraId="471AFB82" w14:textId="77777777" w:rsidR="00504262" w:rsidRPr="001B7308" w:rsidRDefault="0050426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LGD stosuje w procedurach </w:t>
      </w:r>
      <w:r w:rsidRPr="001B7308">
        <w:rPr>
          <w:rFonts w:asciiTheme="majorHAnsi" w:hAnsiTheme="majorHAnsi" w:cstheme="majorHAnsi"/>
          <w:bCs/>
        </w:rPr>
        <w:t xml:space="preserve">oceny wniosków o powierzenie grantów  oraz wyboru </w:t>
      </w:r>
      <w:proofErr w:type="spellStart"/>
      <w:r w:rsidRPr="001B7308">
        <w:rPr>
          <w:rFonts w:asciiTheme="majorHAnsi" w:hAnsiTheme="majorHAnsi" w:cstheme="majorHAnsi"/>
          <w:bCs/>
        </w:rPr>
        <w:t>Grantobiorców</w:t>
      </w:r>
      <w:proofErr w:type="spellEnd"/>
      <w:r w:rsidRPr="001B7308">
        <w:rPr>
          <w:rFonts w:asciiTheme="majorHAnsi" w:hAnsiTheme="majorHAnsi" w:cstheme="majorHAnsi"/>
          <w:bCs/>
        </w:rPr>
        <w:t xml:space="preserve"> kryterium zape</w:t>
      </w:r>
      <w:r w:rsidRPr="001B7308">
        <w:rPr>
          <w:rFonts w:asciiTheme="majorHAnsi" w:hAnsiTheme="majorHAnsi" w:cstheme="majorHAnsi"/>
        </w:rPr>
        <w:t xml:space="preserve">wniające, że nie zostaną wybrane projekty grantowe, których wnioskodawcami są podmioty: </w:t>
      </w:r>
    </w:p>
    <w:p w14:paraId="712F7D3F" w14:textId="77777777" w:rsidR="00504262" w:rsidRPr="001B7308" w:rsidRDefault="0050426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będące osobami fizycznymi realizującymi działania związane z LSR, zatrudnionymi przez LGD lub będące osobami fizycznymi pełniącymi funkcję członków Zarządu LGD, </w:t>
      </w:r>
    </w:p>
    <w:p w14:paraId="45E4BD9E" w14:textId="77777777" w:rsidR="00504262" w:rsidRPr="001B7308" w:rsidRDefault="0050426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których wyżej wymienione osoby są wspólnikami spółek prawa handlowego lub prowadzą działalność w formie spółki cywilnej.</w:t>
      </w:r>
    </w:p>
    <w:p w14:paraId="74C193CD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Weryfikacja formalna</w:t>
      </w:r>
    </w:p>
    <w:p w14:paraId="4150278B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§10</w:t>
      </w:r>
    </w:p>
    <w:p w14:paraId="287314C8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bookmarkStart w:id="3" w:name="_Hlk168005285"/>
      <w:r w:rsidRPr="001B7308">
        <w:rPr>
          <w:rFonts w:asciiTheme="majorHAnsi" w:hAnsiTheme="majorHAnsi" w:cstheme="majorHAnsi"/>
        </w:rPr>
        <w:t xml:space="preserve">Po zakończeniu konkursu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LGD przeprowadza weryfikację formalną wniosków. </w:t>
      </w:r>
    </w:p>
    <w:p w14:paraId="61F10722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Weryfikacja formalna polega na weryfikacji kompletności wniosku, tj. sprawdzeniu czy zawiera on wszystkie wymagane załączniki oraz czy został on wypełniony we wszystkich wymaganych polach.</w:t>
      </w:r>
    </w:p>
    <w:p w14:paraId="76AB9251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Weryfikację formalną przeprowadza Rada LGD.</w:t>
      </w:r>
    </w:p>
    <w:p w14:paraId="2F192E01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Weryfikację formalną przeprowadza każdy z członków Rady, który nie wyłączył się z oceny danego wniosku. Weryfikację formalną członkowie Rady przeprowadzają na karcie indywidualnej weryfikacji formalnej stanowiącej załącznik nr 6a. </w:t>
      </w:r>
    </w:p>
    <w:p w14:paraId="7406AA83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przeprowadzają weryfikację formalną w systemie IT LGD. </w:t>
      </w:r>
    </w:p>
    <w:p w14:paraId="3EC84EBD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Na podstawie indywidualnych kart weryfikacji formalnej w systemie IT LGD generowana jest wspólna karta weryfikacji formalnej stanowiąca załącznik 6b. </w:t>
      </w:r>
    </w:p>
    <w:p w14:paraId="258178E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Indywidualne karty weryfikacji formalnej opracowane w systemie IT LGD nie wymagają podpisu. W systemie IT LGD zachowywany jest ślad rewizyjny z tych czynności pozwalający na identyfikacje wyniku weryfikacji każdego z członków Rady.</w:t>
      </w:r>
    </w:p>
    <w:p w14:paraId="73084AB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Wspólna karta weryfikacji formalnej podpisywana jest przez Przewodniczącego Rady LGD.</w:t>
      </w:r>
    </w:p>
    <w:p w14:paraId="2027915F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Jeżeli w trakcie weryfikacji formalnej wniosku o powierzenie grantu jest konieczne uzyskanie wyjaśnień, uzupełnień lub dokumentów niezbędnych do wyboru operacji to odpowiedni zapis umieszczany jest na Karcie weryfikacji formalnej.</w:t>
      </w:r>
    </w:p>
    <w:p w14:paraId="2900AE39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rozbieżności w weryfikacji formalnej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weryfikacji formalnej .</w:t>
      </w:r>
    </w:p>
    <w:p w14:paraId="1A2889D7" w14:textId="77777777" w:rsidR="00504262" w:rsidRPr="001B7308" w:rsidRDefault="00504262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Wystąpienie  rozbieżności weryfikacji formalnej nie wstrzymuje oceny merytorycznej w zakresie spełniania warunków udzielenia wsparcia. </w:t>
      </w:r>
    </w:p>
    <w:p w14:paraId="2E96EAE3" w14:textId="77777777" w:rsidR="008B777A" w:rsidRPr="001B7308" w:rsidRDefault="008B777A" w:rsidP="008B777A">
      <w:pPr>
        <w:spacing w:after="0"/>
        <w:ind w:left="360"/>
        <w:contextualSpacing/>
        <w:rPr>
          <w:rFonts w:asciiTheme="majorHAnsi" w:hAnsiTheme="majorHAnsi" w:cstheme="majorHAnsi"/>
        </w:rPr>
      </w:pPr>
    </w:p>
    <w:p w14:paraId="6EBDD13E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Ocena merytoryczna w zakresie spełniania warunków </w:t>
      </w:r>
      <w:bookmarkEnd w:id="3"/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udzielenia wsparcia</w:t>
      </w:r>
    </w:p>
    <w:p w14:paraId="426C1C2B" w14:textId="3203FCC6" w:rsidR="008B777A" w:rsidRPr="001B7308" w:rsidRDefault="008B777A" w:rsidP="00A325A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§11</w:t>
      </w:r>
    </w:p>
    <w:p w14:paraId="13B4CAC1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zakończeniu weryfikacji  formalnej LGD dokonuje oceny merytorycznej wniosku o powierzenie grantu w zakresie spełniania warunków udzielenia wsparcia określonych w przepisach prawa powszechnie obowiązującego, LSR i ogłoszeniu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19D3167F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Ocenę merytoryczną w zakresie spełniania warunków udzielenia wsparcia przeprowadza Rada LGD.</w:t>
      </w:r>
    </w:p>
    <w:p w14:paraId="5212CB72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Ocenę merytoryczną w zakresie spełniania warunków udzielenia wsparcia przeprowadza każdy z członków Rady, który nie wyłączył się z oceny danego wniosku. Ocenę merytoryczną w zakresie spełniania warunków udzielenia wsparcia członkowie Rady przeprowadzają na karcie oceny </w:t>
      </w:r>
      <w:r w:rsidRPr="001B7308">
        <w:rPr>
          <w:rFonts w:asciiTheme="majorHAnsi" w:hAnsiTheme="majorHAnsi" w:cstheme="majorHAnsi"/>
        </w:rPr>
        <w:lastRenderedPageBreak/>
        <w:t>merytorycznej w zakresie spełniania warunków udzielenia wsparcia (w tym zgodności z LSR), stanowiącej załącznik nr 7a.</w:t>
      </w:r>
    </w:p>
    <w:p w14:paraId="3613AEEE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Członkowie Rady przeprowadzają ocenę merytoryczną w zakresie spełniania warunków udzielenia wsparcia w systemie IT LGD. </w:t>
      </w:r>
    </w:p>
    <w:p w14:paraId="2C2AA41F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Na podstawie indywidualnych kart oceny merytorycznej w zakresie spełniania warunków udzielenia wsparcia w systemie IT LGD generowana jest wspólna karta oceny merytorycznej w zakresie spełniania warunków udzielenia wsparcia (w tym zgodności z LSR), stanowiąca załącznik nr 7b. </w:t>
      </w:r>
    </w:p>
    <w:p w14:paraId="7AE713EC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Indywidualne karty oceny merytorycznej w zakresie spełniania warunków udzielenia wsparcia opracowane w systemie IT LGD nie wymagają podpisu. W systemie IT LGD zachowywany jest ślad rewizyjny z tych czynności pozwalający na identyfikacje wyniku oceny każdego z członków Rady.</w:t>
      </w:r>
    </w:p>
    <w:p w14:paraId="0DF43CB3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Wspólna karta oceny merytorycznej w zakresie spełniania warunków udzielenia wsparcia podpisywana jest przez Przewodniczącego Rady LGD.</w:t>
      </w:r>
    </w:p>
    <w:p w14:paraId="6DC94B28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Jeżeli w trakcie ceny merytorycznej w zakresie spełniania warunków udzielenia wsparcia wniosku o powierzenie grantu jest konieczne uzyskanie wyjaśnień, uzupełnień lub dokumentów niezbędnych do wyboru operacji to odpowiedni zapis umieszczany jest na Karcie oceny merytorycznej w zakresie spełniania warunków udzielenia wsparcia.</w:t>
      </w:r>
    </w:p>
    <w:p w14:paraId="5E553D35" w14:textId="77777777" w:rsidR="00504262" w:rsidRPr="001B7308" w:rsidRDefault="00504262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przypadku rozbieżności w ocenie merytorycznej w zakresie spełniania warunków udzielenia wsparcia pomiędzy członkami Rady LGD Przewodniczący Rady LGD zwołuje posiedzenie Rady LGD celem rozstrzygnięcia tych rozbieżności. Zasady zwoływania i prowadzenia posiedzeń Rady zawarte są w Regulaminie Rady LGD. Po rozstrzygnięciu tych rozbieżności przez Radę LGD generowana jest wspólna karta oceny merytorycznej w zakresie spełniania warunków udzielenia wsparcia.</w:t>
      </w:r>
    </w:p>
    <w:p w14:paraId="305D0D7D" w14:textId="77777777" w:rsidR="008B777A" w:rsidRPr="001B7308" w:rsidRDefault="008B777A" w:rsidP="008B777A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Theme="majorHAnsi" w:hAnsiTheme="majorHAnsi" w:cstheme="majorHAnsi"/>
        </w:rPr>
      </w:pPr>
    </w:p>
    <w:p w14:paraId="7CDB3A17" w14:textId="77777777" w:rsidR="008B777A" w:rsidRPr="001B7308" w:rsidRDefault="008B777A" w:rsidP="008B777A">
      <w:pPr>
        <w:spacing w:before="240"/>
        <w:ind w:left="720"/>
        <w:jc w:val="center"/>
        <w:outlineLvl w:val="1"/>
        <w:rPr>
          <w:rFonts w:asciiTheme="majorHAnsi" w:eastAsia="Calibri" w:hAnsiTheme="majorHAnsi" w:cstheme="majorHAnsi"/>
          <w:color w:val="002060"/>
          <w:sz w:val="24"/>
          <w:szCs w:val="24"/>
          <w:lang w:eastAsia="pl-PL"/>
        </w:rPr>
      </w:pPr>
      <w:r w:rsidRPr="001B7308">
        <w:rPr>
          <w:rFonts w:asciiTheme="majorHAnsi" w:eastAsia="Calibri" w:hAnsiTheme="majorHAnsi" w:cstheme="majorHAnsi"/>
          <w:color w:val="002060"/>
          <w:sz w:val="24"/>
          <w:szCs w:val="24"/>
          <w:lang w:eastAsia="pl-PL"/>
        </w:rPr>
        <w:t>Uzyskanie wyjaśnień, uzupełnień lub dokumentów</w:t>
      </w:r>
    </w:p>
    <w:p w14:paraId="015081B7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§12</w:t>
      </w:r>
    </w:p>
    <w:p w14:paraId="088CF89D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bookmarkStart w:id="4" w:name="_Hlk168002580"/>
      <w:r w:rsidRPr="001B7308">
        <w:rPr>
          <w:rFonts w:asciiTheme="majorHAnsi" w:hAnsiTheme="majorHAnsi" w:cstheme="majorHAnsi"/>
        </w:rPr>
        <w:t xml:space="preserve">Jeżeli po zakończeniu oceny formalnej oraz oceny merytorycznej w zakresie spełniania warunków przyznania pomocy jest konieczne uzyskanie wyjaśnień, uzupełnień lub dokumentów niezbędnych do wyboru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</w:t>
      </w:r>
      <w:bookmarkEnd w:id="4"/>
      <w:r w:rsidRPr="001B7308">
        <w:rPr>
          <w:rFonts w:asciiTheme="majorHAnsi" w:hAnsiTheme="majorHAnsi" w:cstheme="majorHAnsi"/>
        </w:rPr>
        <w:t xml:space="preserve">lub ustalenia kwoty grantu na wdrażanie LSR, LGD wzywa wnioskodawcę do złożenia wyjaśnień, uzupełnień lub dokumentów w wyznaczonym terminie. </w:t>
      </w:r>
    </w:p>
    <w:p w14:paraId="232A5C2E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pisma wzywającego wnioskodawcę do uzupełnień zawiera Załącznik  nr 8.</w:t>
      </w:r>
    </w:p>
    <w:p w14:paraId="2B1F1815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Wezwanie do uzupełnień przygotowywane jest przez pracownika Biura LGD na podstawie kart oceny formalnej oraz oceny merytorycznej w zakresie spełniania warunków udzielenia wsparcia.</w:t>
      </w:r>
    </w:p>
    <w:p w14:paraId="62EBA4C6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posiada dostęp do elektronicznej wersji wezwań do uzupełnień przed ich wysłaniem do wnioskodawców.</w:t>
      </w:r>
    </w:p>
    <w:p w14:paraId="051D1889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wzywa podmiot ubiegający się o grant do złożenia wyjaśnień, uzupełnień lub dokumentów jednokrotnie. </w:t>
      </w:r>
    </w:p>
    <w:p w14:paraId="4842FE69" w14:textId="77777777" w:rsidR="008B777A" w:rsidRPr="001B7308" w:rsidRDefault="008B777A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 wzywa podmiot ubiegający się o grant do złożenia wyjaśnień, uzupełnień lub dokumentów</w:t>
      </w:r>
      <w:r w:rsidRPr="001B7308" w:rsidDel="00570315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 xml:space="preserve">poprzez system IT LGD. </w:t>
      </w:r>
    </w:p>
    <w:p w14:paraId="4D26D64A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§13</w:t>
      </w:r>
    </w:p>
    <w:p w14:paraId="09AFB0B2" w14:textId="77777777" w:rsidR="00AC5305" w:rsidRPr="001B7308" w:rsidRDefault="00AC530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Wnioskodawca jest obowiązany przedstawiać dowody oraz składać wyjaśnienia niezbędne do oceny wniosku o powierzenie grantu, wyboru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na wdrażanie LSR zgodnie z prawdą i bez zatajania czegokolwiek. Ciężar udowodnienia faktu spoczywa na podmiocie, który z tego faktu wywodzi skutki prawne.</w:t>
      </w:r>
    </w:p>
    <w:p w14:paraId="341A42E1" w14:textId="55DB2588" w:rsidR="00AC5305" w:rsidRPr="001B7308" w:rsidRDefault="00AC530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Podmiot ubiegający się o powierzenie grantu składa wyjaśnienia lub uzupełnienia zgodnie z wezwaniem poprzez system IT LGD </w:t>
      </w:r>
      <w:r w:rsidRPr="00D6517F">
        <w:rPr>
          <w:rFonts w:asciiTheme="majorHAnsi" w:hAnsiTheme="majorHAnsi" w:cstheme="majorHAnsi"/>
        </w:rPr>
        <w:t>lub w innej formie jeśli wynika to z wezwania.</w:t>
      </w:r>
    </w:p>
    <w:p w14:paraId="6E847DA3" w14:textId="7777777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na wezwanie LGD składa wyjaśnienia lub uzupełnia dokumenty w terminie nie dłuższym niż 7 dni od daty doręczenia wezwania pod rygorem oceny wniosku w takim zakresie, w jakim został złożony.</w:t>
      </w:r>
    </w:p>
    <w:p w14:paraId="6BD4D67D" w14:textId="7777777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 datę doręczenia Wnioskodawcy wezwania do złożenia wyjaśnień, uzupełnień lub dokumentów niezbędnych do oceny wniosku o powierzenie grantu, wyboru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za pomocą systemu IT LGD uznaje się dzień:</w:t>
      </w:r>
    </w:p>
    <w:p w14:paraId="5F357869" w14:textId="77777777" w:rsidR="00AC5305" w:rsidRPr="001B7308" w:rsidRDefault="00AC5305" w:rsidP="001B7308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a) potwierdzenia odczytania wezwania przez Wnioskodawcę w tym systemie, z tym że dostęp do treści pisma i jego załączników uzyskuje się po dokonaniu tego potwierdzenia,</w:t>
      </w:r>
    </w:p>
    <w:p w14:paraId="21594FDA" w14:textId="77777777" w:rsidR="00AC5305" w:rsidRPr="001B7308" w:rsidRDefault="00AC5305" w:rsidP="001B7308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b) następujący po upływie 14 dni od dnia otrzymania pisma w tym systemie, jeżeli Wnioskodawca nie potwierdził odczytania pisma przed upływem tego terminu.</w:t>
      </w:r>
    </w:p>
    <w:p w14:paraId="7A5933C3" w14:textId="77777777" w:rsidR="00AC5305" w:rsidRPr="001B7308" w:rsidRDefault="00AC5305">
      <w:pPr>
        <w:pStyle w:val="Akapitzlist"/>
        <w:numPr>
          <w:ilvl w:val="0"/>
          <w:numId w:val="28"/>
        </w:numPr>
        <w:ind w:left="284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Za datę złożenia wyjaśnień, uzupełnień lub dokumentów niezbędnych do oceny wniosku o powierzenie grantu , wyboru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lub ustalenia kwoty grantu przez Wnioskodawcę uważa się dzień wysłania dokumentu w systemie IT LGD.</w:t>
      </w:r>
    </w:p>
    <w:p w14:paraId="4B23AA50" w14:textId="77777777" w:rsidR="00AC5305" w:rsidRPr="001B7308" w:rsidRDefault="00AC5305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§14</w:t>
      </w:r>
    </w:p>
    <w:p w14:paraId="32499D40" w14:textId="77777777" w:rsidR="00AC5305" w:rsidRPr="001B7308" w:rsidRDefault="00AC5305">
      <w:pPr>
        <w:pStyle w:val="Bezodstpw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Niezłożenie na wezwanie LGD wyjaśnień, uzupełnień lub dokumentów, jak również złożenie ich po terminie wskazanym w wezwaniu powoduje, że w mocy pozostaje pierwotna weryfikacja formalna i ocena merytoryczna w zakresie spełniania warunków udzielenia wsparcia dokonana przez Radę LGD.</w:t>
      </w:r>
    </w:p>
    <w:p w14:paraId="4D226017" w14:textId="77777777" w:rsidR="00AC5305" w:rsidRPr="001B7308" w:rsidRDefault="00AC5305">
      <w:pPr>
        <w:pStyle w:val="Bezodstpw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Wnioski, które zostały ocenione negatywnie w zakresie spełniania warunków udzielenia wsparcia (w tym zgodności z LSR), nie podlegają ocenie merytorycznej zgodności z kryteriami wyboru.</w:t>
      </w:r>
    </w:p>
    <w:p w14:paraId="50C3087A" w14:textId="77777777" w:rsidR="008B777A" w:rsidRPr="001B7308" w:rsidRDefault="008B777A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Ocena merytoryczna zgodności z kryteriami wyboru</w:t>
      </w:r>
    </w:p>
    <w:p w14:paraId="65292236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§15</w:t>
      </w:r>
    </w:p>
    <w:p w14:paraId="76124F0D" w14:textId="77777777" w:rsidR="008B777A" w:rsidRPr="001B7308" w:rsidRDefault="008B77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Organem odpowiedzialnym za ocenę merytoryczną zgodności z kryteriami wyboru</w:t>
      </w:r>
      <w:r w:rsidRPr="001B7308" w:rsidDel="00A867AC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</w:rPr>
        <w:t xml:space="preserve">jest Rada LGD. </w:t>
      </w:r>
    </w:p>
    <w:p w14:paraId="376F92F8" w14:textId="77777777" w:rsidR="008B777A" w:rsidRPr="001B7308" w:rsidRDefault="008B777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LGD:</w:t>
      </w:r>
    </w:p>
    <w:p w14:paraId="4E6607A3" w14:textId="77777777" w:rsidR="008B777A" w:rsidRPr="001B7308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dokonuje oceny merytorycznej wniosków o powierzenie grantu w zakresie spełniania kryteriów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w tym uzyskania minimalnej liczby punktów umożliwiającej przyznanie grantu o ile zostały one określone w ogłoszeniu o konkursie,</w:t>
      </w:r>
    </w:p>
    <w:p w14:paraId="3B3FE65C" w14:textId="77777777" w:rsidR="008B777A" w:rsidRPr="001B7308" w:rsidRDefault="008B777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ustala kolejność przysługiwania pomocy na podstawie wyników oceny merytorycznej w zakresie spełniania kryteriów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na zasadach określonych w §21.</w:t>
      </w:r>
    </w:p>
    <w:p w14:paraId="1D7531B7" w14:textId="77777777" w:rsidR="008B777A" w:rsidRPr="001B7308" w:rsidRDefault="008B777A" w:rsidP="001B7308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Theme="majorHAnsi" w:hAnsiTheme="majorHAnsi" w:cstheme="majorHAnsi"/>
        </w:rPr>
      </w:pPr>
    </w:p>
    <w:p w14:paraId="3400E83D" w14:textId="77777777" w:rsidR="008B777A" w:rsidRPr="001B7308" w:rsidRDefault="008B777A" w:rsidP="001B7308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§16</w:t>
      </w:r>
    </w:p>
    <w:p w14:paraId="21DA2CD3" w14:textId="77777777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Każdy z członków Rady dokonuje oceny każdego wniosku.</w:t>
      </w:r>
    </w:p>
    <w:p w14:paraId="49F66B20" w14:textId="77777777" w:rsidR="008B777A" w:rsidRPr="001B7308" w:rsidRDefault="008B777A">
      <w:pPr>
        <w:numPr>
          <w:ilvl w:val="0"/>
          <w:numId w:val="7"/>
        </w:numPr>
        <w:contextualSpacing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Każdy z członków Rady LGD ocenia wniosek indywidualnie za pomocą karty oceny zgodności z kryteriami wyboru.</w:t>
      </w:r>
    </w:p>
    <w:p w14:paraId="0D78879D" w14:textId="77777777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indywidualnej Karty oceny zgodności z kryteriami wyboru stanowi Załącznik nr 9.</w:t>
      </w:r>
    </w:p>
    <w:p w14:paraId="63F75578" w14:textId="2DDE6AD0" w:rsidR="008B777A" w:rsidRPr="001B7308" w:rsidRDefault="008B777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Procedura ustalania niebudzących wątpliwości interpretacyjnych kryteriów wyboru wniosków określona jest w </w:t>
      </w:r>
      <w:r w:rsidRPr="00D6517F">
        <w:rPr>
          <w:rFonts w:asciiTheme="majorHAnsi" w:hAnsiTheme="majorHAnsi" w:cstheme="majorHAnsi"/>
        </w:rPr>
        <w:t>rozdziale</w:t>
      </w:r>
      <w:r w:rsidRPr="001B7308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  <w:i/>
        </w:rPr>
        <w:t>Procedur</w:t>
      </w:r>
      <w:r w:rsidR="00B004AB">
        <w:rPr>
          <w:rFonts w:asciiTheme="majorHAnsi" w:hAnsiTheme="majorHAnsi" w:cstheme="majorHAnsi"/>
          <w:i/>
        </w:rPr>
        <w:t>ze</w:t>
      </w:r>
      <w:r w:rsidRPr="001B7308">
        <w:rPr>
          <w:rFonts w:asciiTheme="majorHAnsi" w:hAnsiTheme="majorHAnsi" w:cstheme="majorHAnsi"/>
          <w:i/>
        </w:rPr>
        <w:t xml:space="preserve"> ustalania i zmiany niebudzących wątpliwości interpretacyjnych kryteriów wyboru </w:t>
      </w:r>
      <w:proofErr w:type="spellStart"/>
      <w:r w:rsidRPr="001B7308">
        <w:rPr>
          <w:rFonts w:asciiTheme="majorHAnsi" w:hAnsiTheme="majorHAnsi" w:cstheme="majorHAnsi"/>
          <w:i/>
        </w:rPr>
        <w:t>grantobiorców</w:t>
      </w:r>
      <w:proofErr w:type="spellEnd"/>
      <w:r w:rsidRPr="001B7308">
        <w:rPr>
          <w:rFonts w:asciiTheme="majorHAnsi" w:hAnsiTheme="majorHAnsi" w:cstheme="majorHAnsi"/>
          <w:i/>
        </w:rPr>
        <w:t xml:space="preserve"> w ramach projektów grantowych</w:t>
      </w:r>
      <w:r w:rsidRPr="001B7308">
        <w:rPr>
          <w:rFonts w:asciiTheme="majorHAnsi" w:hAnsiTheme="majorHAnsi" w:cstheme="majorHAnsi"/>
        </w:rPr>
        <w:t xml:space="preserve"> niniejszych procedur.</w:t>
      </w:r>
    </w:p>
    <w:p w14:paraId="2296C8B8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§17</w:t>
      </w:r>
    </w:p>
    <w:p w14:paraId="0D9EF272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>Po zakończeniu oceny zgodności z kryteriami wyboru, dokonanej przez każdego z członków Rady system IT LGD generuje jedną Kartę oceny zgodności z kryteriami wyboru oraz ustalenia kwoty grantu. Odbywa się to na podstawie dominanty ocen wszystkich członków Rady obliczanej osobno dla każdego kryterium. Karta oceny zgodności z kryteriami wyboru oraz ustalenia kwoty grantu podlega dyskusji i akceptacji całej Rady LGD na posiedzeniu Rady.</w:t>
      </w:r>
    </w:p>
    <w:p w14:paraId="25C7AA5A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niemożliwości obliczenia pojedynczej dominanty decyzję w sprawie określenia, która z wartości pozostaje dominantą w danym kryterium podejmuje na posiedzeniu Rady cały skład Rady LGD, a w przypadku braku możliwości wypracowania pojedynczego stanowiska przez Radę LGD Przewodniczący Rady lub przewodniczący danego posiedzenia Rady w przypadku jego nieobecności . </w:t>
      </w:r>
    </w:p>
    <w:p w14:paraId="77DEF53D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Karty oceny zgodności z kryteriami wyboru oraz ustalenia kwoty grantu stanowi Załącznik nr 10.</w:t>
      </w:r>
    </w:p>
    <w:p w14:paraId="3F732E5B" w14:textId="77777777" w:rsidR="008B777A" w:rsidRPr="001B7308" w:rsidRDefault="008B777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Ostateczną wersję Karty oceny zgodności z kryteriami wyboru oraz ustalenia kwoty wsparcia podpisuje Przewodniczący Rady LGD.</w:t>
      </w:r>
    </w:p>
    <w:p w14:paraId="40C62303" w14:textId="77777777" w:rsidR="008B777A" w:rsidRPr="001B7308" w:rsidRDefault="008B777A" w:rsidP="008B777A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 xml:space="preserve">Podejmowanie decyzji o wyborze </w:t>
      </w:r>
      <w:proofErr w:type="spellStart"/>
      <w:r w:rsidRPr="001B7308">
        <w:rPr>
          <w:rFonts w:asciiTheme="majorHAnsi" w:eastAsiaTheme="majorEastAsia" w:hAnsiTheme="majorHAnsi" w:cstheme="majorHAnsi"/>
          <w:color w:val="002060"/>
          <w:sz w:val="24"/>
          <w:szCs w:val="24"/>
        </w:rPr>
        <w:t>grantobiorców</w:t>
      </w:r>
      <w:proofErr w:type="spellEnd"/>
    </w:p>
    <w:p w14:paraId="0C3A0EA6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§18</w:t>
      </w:r>
    </w:p>
    <w:p w14:paraId="2A50A0A4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Decyzję o wyborze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oraz ustaleniu kwoty grantu Rada LGD podejmuje w drodze uchwały na posiedzeniu Rady. Zasady funkcjonowania Rady LGD w tym zasady zwoływania i przeprowadzania posiedzeń Rady LGD reguluje Regulamin Rady LGD. Rada LGD podejmuje decyzję w głosowaniu na zasadzie większości, głos decydujący należy do Przewodniczącego Rady. </w:t>
      </w:r>
    </w:p>
    <w:p w14:paraId="722F7F1A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Rada LGD podejmuje decyzję o zatwierdzeniu oceny formalnej oraz oceny merytorycznej w zakresie spełniania warunków udzielenia wsparcia. </w:t>
      </w:r>
    </w:p>
    <w:p w14:paraId="232C0C3F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Jeśli wnioskodawca został wezwany do uzupełnień w zakresie weryfikacji formalnej lub oceny merytorycznej w zakresie spełniania warunków udzielenia wsparcia i złożył do LGD takie uzupełnienia, wyjaśnienia lub dokumenty to Rada LGD uwzględnia zmiany we wspólnych kartach weryfikacji formalnej lub oceny merytorycznej w zakresie warunków udzielenia wsparcia. </w:t>
      </w:r>
    </w:p>
    <w:p w14:paraId="6BDE93D7" w14:textId="77777777" w:rsidR="008B777A" w:rsidRPr="001B7308" w:rsidRDefault="008B777A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Jeśli wnioskodawca nie został wezwany do uzupełnień lub nie złożył do LGD takich uzupełnień wniosek zostaje procedowany na podstawie pierwotnie opracowanej wspólnej karty weryfikacji formalnej lub oceny merytorycznej w zakresie warunków udzielenia wsparcia.</w:t>
      </w:r>
    </w:p>
    <w:p w14:paraId="54DA9FD5" w14:textId="77777777" w:rsidR="008B777A" w:rsidRPr="001B7308" w:rsidRDefault="008B777A" w:rsidP="001B7308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Theme="majorHAnsi" w:hAnsiTheme="majorHAnsi" w:cstheme="majorHAnsi"/>
        </w:rPr>
      </w:pPr>
    </w:p>
    <w:p w14:paraId="62328A9D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§19</w:t>
      </w:r>
    </w:p>
    <w:p w14:paraId="47FC99E1" w14:textId="77777777" w:rsidR="008B777A" w:rsidRPr="001B7308" w:rsidRDefault="008B777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Rada LGD podejmuje decyzję w sprawie oceny zgodności z kryteriami wyboru. W decyzji dotyczącej danego wniosku udział biorą jedynie członkowie Rady LGD, którzy zadeklarowali bezstronność w stosunku do danego wniosku. W przypadku, gdy członek Rady LGD wyłączy się ze względu na konflikt interesu ponownie sprawdzane jest, czy żadna z grup interesów nie uzyskała przewagi w organie decyzyjnym i dokonane są ewentualne korekty. W przypadku wystąpienia przesłanek wskazujących na wystąpienie konfliktu interesów Rada może w głosowaniu zdecydować o wyłączeniu członka Rady z podejmowania decyzji w sprawie danego wniosku. </w:t>
      </w:r>
    </w:p>
    <w:p w14:paraId="40A81558" w14:textId="77777777" w:rsidR="008B777A" w:rsidRPr="001B7308" w:rsidRDefault="008B777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Rada LGD ustala, w drodze dyskusji, uzasadnienia przyznania punktów w poszczególnych kryteriach. Uzasadnienia wprowadzane są do karty zgodności z kryteriami wyboru oraz ustalenia kwoty grantu.</w:t>
      </w:r>
    </w:p>
    <w:p w14:paraId="0B47AB30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§20</w:t>
      </w:r>
    </w:p>
    <w:p w14:paraId="4D4AE27F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Dla poszczególnych wniosków, które uzyskały wymaganą minimalną liczbę punktów w wyniku oceny według kryteriów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>, Rada LGD, dokonuje ustalenia kwoty grantu.</w:t>
      </w:r>
    </w:p>
    <w:p w14:paraId="4CE008A3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lastRenderedPageBreak/>
        <w:t>Ustalenie kwoty grantów w odniesieniu do wniosków o powierzenie grantów spełniających minimum punktowe odbywa się na posiedzeniu Rady LGD w oparciu o dane zawarte we wniosku o powierzenie grantu.</w:t>
      </w:r>
    </w:p>
    <w:p w14:paraId="49B841A3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Za wydatki kwalifikowalne Rada LGD może uznać wydatki zgodne z zasadami kwalifikowalności wskazanymi w wytycznych podstawowych w zakresie pomocy finansowej PS WPR na lata 2023-2027.</w:t>
      </w:r>
    </w:p>
    <w:p w14:paraId="3CBADDAF" w14:textId="77777777" w:rsidR="00AC5305" w:rsidRPr="001B7308" w:rsidRDefault="00AC5305">
      <w:pPr>
        <w:numPr>
          <w:ilvl w:val="0"/>
          <w:numId w:val="29"/>
        </w:numPr>
        <w:spacing w:after="0" w:line="240" w:lineRule="auto"/>
        <w:jc w:val="both"/>
        <w:rPr>
          <w:rFonts w:asciiTheme="majorHAnsi" w:eastAsia="Calibri" w:hAnsiTheme="majorHAnsi" w:cstheme="majorHAnsi"/>
          <w:highlight w:val="white"/>
        </w:rPr>
      </w:pPr>
      <w:r w:rsidRPr="001B7308">
        <w:rPr>
          <w:rFonts w:asciiTheme="majorHAnsi" w:eastAsia="Calibri" w:hAnsiTheme="majorHAnsi" w:cstheme="majorHAnsi"/>
        </w:rPr>
        <w:t xml:space="preserve">Ostateczna wysokość grantu określana jest zgodnie z warunkami kwalifikowalności wskazanymi w wytycznych podstawowych oraz wytycznych szczegółowych, w tym z przysługującym danemu </w:t>
      </w:r>
      <w:proofErr w:type="spellStart"/>
      <w:r w:rsidRPr="001B7308">
        <w:rPr>
          <w:rFonts w:asciiTheme="majorHAnsi" w:eastAsia="Calibri" w:hAnsiTheme="majorHAnsi" w:cstheme="majorHAnsi"/>
        </w:rPr>
        <w:t>grantobiorcy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poziomem współfinansowania w wysokości nie niższej niż wskazana w ogłoszeniu o konkursie.</w:t>
      </w:r>
    </w:p>
    <w:p w14:paraId="67D769C0" w14:textId="77777777" w:rsidR="00AC5305" w:rsidRPr="001B7308" w:rsidRDefault="00AC530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 sytuacji obniżenia kwoty grantu przez Radę, konieczne jest, przed podpisaniem umowy o powierzenie grantu, dostosowanie przez wnioskodawcę wniosku o powierzenie grantu. </w:t>
      </w:r>
      <w:r w:rsidRPr="001B7308">
        <w:rPr>
          <w:rFonts w:asciiTheme="majorHAnsi" w:hAnsiTheme="majorHAnsi" w:cstheme="majorHAnsi"/>
        </w:rPr>
        <w:t>Decyzję Rady LGD w zakresie ustalenia kwoty grantu nanosi się na kartę oceny zgodności z kryteriami wyboru oraz ustalenia kwoty grantu danego wniosku</w:t>
      </w:r>
    </w:p>
    <w:p w14:paraId="5949D67D" w14:textId="77777777" w:rsidR="008B777A" w:rsidRPr="001B7308" w:rsidRDefault="008B777A" w:rsidP="008B777A">
      <w:pPr>
        <w:tabs>
          <w:tab w:val="left" w:pos="-3060"/>
        </w:tabs>
        <w:spacing w:before="120" w:after="240" w:line="240" w:lineRule="auto"/>
        <w:contextualSpacing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§21</w:t>
      </w:r>
    </w:p>
    <w:p w14:paraId="285F2743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Na podstawie wyników oceny oraz decyzji w sprawie ustalenia kwoty grantu, o których mowa w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18,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19 i </w:t>
      </w:r>
      <w:r w:rsidRPr="001B7308">
        <w:rPr>
          <w:rFonts w:asciiTheme="majorHAnsi" w:hAnsiTheme="majorHAnsi" w:cstheme="majorHAnsi"/>
        </w:rPr>
        <w:t>§</w:t>
      </w:r>
      <w:r w:rsidRPr="001B7308">
        <w:rPr>
          <w:rFonts w:asciiTheme="majorHAnsi" w:eastAsia="Calibri" w:hAnsiTheme="majorHAnsi" w:cstheme="majorHAnsi"/>
        </w:rPr>
        <w:t xml:space="preserve">20 Rada tworzy wstępną listę rankingową. </w:t>
      </w:r>
    </w:p>
    <w:p w14:paraId="65720C08" w14:textId="77777777" w:rsidR="00AC5305" w:rsidRPr="001B7308" w:rsidRDefault="00AC5305">
      <w:pPr>
        <w:pStyle w:val="Akapitzlist"/>
        <w:numPr>
          <w:ilvl w:val="0"/>
          <w:numId w:val="30"/>
        </w:numP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 kolejności na wstępnej liście rankingowej decyduje suma uzyskanych punktów przyznawanych na podstawie kryteriów wyboru operacji obowiązujących w ramach danego konkursu. Wnioski niespełniające określonych w tym naborze minimów punktowych nie zostają wybrane.</w:t>
      </w:r>
    </w:p>
    <w:p w14:paraId="63446ED0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hAnsiTheme="majorHAnsi" w:cstheme="majorHAnsi"/>
        </w:rPr>
        <w:t>Kolejność przysługiwania wsparcia jest ustalana od wniosku, który uzyskał największą liczbę punktów, do wniosku, który uzyskał najmniejszą liczbę punktów, a w przypadku uzyskania jednakowej liczby punktów przez dwa lub więcej wniosków, o kolejności na liście decydują kryteria rozstrzygające opisane w ogłoszeniu o konkursie</w:t>
      </w:r>
      <w:bookmarkStart w:id="5" w:name="_Hlk209441490"/>
      <w:r w:rsidRPr="001B7308">
        <w:rPr>
          <w:rFonts w:asciiTheme="majorHAnsi" w:hAnsiTheme="majorHAnsi" w:cstheme="majorHAnsi"/>
        </w:rPr>
        <w:t>, a w następnej kolejności przy równym rozkładzie punktów data i godzina złożenia wniosku  w Systemie IT LGD</w:t>
      </w:r>
      <w:bookmarkEnd w:id="5"/>
      <w:r w:rsidRPr="001B7308">
        <w:rPr>
          <w:rFonts w:asciiTheme="majorHAnsi" w:hAnsiTheme="majorHAnsi" w:cstheme="majorHAnsi"/>
        </w:rPr>
        <w:t>.</w:t>
      </w:r>
    </w:p>
    <w:p w14:paraId="535C0E95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Niezwłocznie po posiedzeniu Rady, wstępna lista rankingowa </w:t>
      </w:r>
      <w:r w:rsidRPr="001B7308">
        <w:rPr>
          <w:rFonts w:asciiTheme="majorHAnsi" w:eastAsia="Calibri" w:hAnsiTheme="majorHAnsi" w:cstheme="majorHAnsi"/>
          <w:highlight w:val="white"/>
        </w:rPr>
        <w:t>jest publikowana na stronie internetowej LGD.</w:t>
      </w:r>
    </w:p>
    <w:p w14:paraId="0DA84EFC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Wzór wstępnej listy rankingowej stanowi załącznik nr 11a.</w:t>
      </w:r>
    </w:p>
    <w:p w14:paraId="0CEADFC2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Na podstawie zawartych we wstępnej liście rankingowej danych do </w:t>
      </w:r>
      <w:proofErr w:type="spellStart"/>
      <w:r w:rsidRPr="001B7308">
        <w:rPr>
          <w:rFonts w:asciiTheme="majorHAnsi" w:eastAsia="Calibri" w:hAnsiTheme="majorHAnsi" w:cstheme="majorHAnsi"/>
        </w:rPr>
        <w:t>grantobiorcy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przekazywana jest informacja o wyniku oceny. Zawiera ona pouczenie o możliwości wniesienia odwołania do LGD wraz ze wskazaniem jego warunków i trybu.</w:t>
      </w:r>
    </w:p>
    <w:p w14:paraId="2996D086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Pismo informujące Wnioskodawcę o wynikach oceny stanowi załącznik nr 13a.</w:t>
      </w:r>
    </w:p>
    <w:p w14:paraId="19CA5D41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Rada podejmuje uchwały w 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do każdego zadania, </w:t>
      </w:r>
      <w:r w:rsidRPr="001B7308">
        <w:rPr>
          <w:rFonts w:asciiTheme="majorHAnsi" w:hAnsiTheme="majorHAnsi" w:cstheme="majorHAnsi"/>
        </w:rPr>
        <w:t>za wyjątkiem wniosków wycofanych</w:t>
      </w:r>
      <w:r w:rsidRPr="001B7308">
        <w:rPr>
          <w:rFonts w:asciiTheme="majorHAnsi" w:eastAsia="Calibri" w:hAnsiTheme="majorHAnsi" w:cstheme="majorHAnsi"/>
        </w:rPr>
        <w:t xml:space="preserve">. Na podstawie wszystkich uchwał w 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powstaje lista rankingowa, będąca ostateczną listą rankingową – stanowiąca załącznik nr 11b.</w:t>
      </w:r>
    </w:p>
    <w:p w14:paraId="03683F6A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Lista opisana w pkt. 8, publikowana jest na stronie internetowej LGD po wejściu w życie uchwał o wyborze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. </w:t>
      </w:r>
    </w:p>
    <w:p w14:paraId="51556CD8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uchwały w sprawie wyboru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stanowi załącznik nr 12. </w:t>
      </w:r>
    </w:p>
    <w:p w14:paraId="553D822B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Termin wejścia w życie tych uchwał określa Rada LGD, biorąc pod uwagę możliwość ewentualnego złożenia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przez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. </w:t>
      </w:r>
    </w:p>
    <w:p w14:paraId="33B79472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 przypadku braku złożenia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zastosowanie ma lista rankingowa stworzona na podstawie uchwał w 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, która zostaje opublikowana na stronie internetowej LGD, zgodnie z terminem wejścia w życie uchwał w 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>.</w:t>
      </w:r>
    </w:p>
    <w:p w14:paraId="24C6B7AD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Wnioskodawca, który nie mieści się w limicie środków na konkurs, otrzymuje status </w:t>
      </w:r>
      <w:proofErr w:type="spellStart"/>
      <w:r w:rsidRPr="001B7308">
        <w:rPr>
          <w:rFonts w:asciiTheme="majorHAnsi" w:eastAsia="Calibri" w:hAnsiTheme="majorHAnsi" w:cstheme="majorHAnsi"/>
        </w:rPr>
        <w:t>grantobiorcy</w:t>
      </w:r>
      <w:proofErr w:type="spellEnd"/>
      <w:r w:rsidRPr="001B7308">
        <w:rPr>
          <w:rFonts w:asciiTheme="majorHAnsi" w:eastAsia="Calibri" w:hAnsiTheme="majorHAnsi" w:cstheme="majorHAnsi"/>
        </w:rPr>
        <w:t xml:space="preserve"> rezerwowego, pod warunkiem, iż wnioskodawca został oceniony pozytywnie pod względem formalnym, merytorycznym i uzyskał minimalną liczbę punktów w kryteriach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>.</w:t>
      </w:r>
    </w:p>
    <w:p w14:paraId="76812EA7" w14:textId="77777777" w:rsidR="00AC5305" w:rsidRPr="001B7308" w:rsidRDefault="00AC530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Lista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rezerwowych zamieszczana jest na stronie internetowej LGD. </w:t>
      </w:r>
    </w:p>
    <w:p w14:paraId="7DF8CCF6" w14:textId="77777777" w:rsidR="00CC562A" w:rsidRPr="001B7308" w:rsidRDefault="00CC562A" w:rsidP="00CC562A">
      <w:pPr>
        <w:rPr>
          <w:rFonts w:asciiTheme="majorHAnsi" w:hAnsiTheme="majorHAnsi" w:cstheme="majorHAnsi"/>
        </w:rPr>
      </w:pPr>
    </w:p>
    <w:p w14:paraId="4CDBFB30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lastRenderedPageBreak/>
        <w:t>Odwołanie od decyzji Rady LGD</w:t>
      </w:r>
    </w:p>
    <w:p w14:paraId="2E40510E" w14:textId="3B425F39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8B777A" w:rsidRPr="001B7308">
        <w:rPr>
          <w:rFonts w:asciiTheme="majorHAnsi" w:hAnsiTheme="majorHAnsi" w:cstheme="majorHAnsi"/>
          <w:color w:val="000000"/>
        </w:rPr>
        <w:t>2</w:t>
      </w:r>
    </w:p>
    <w:p w14:paraId="2989BA25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Wnioskodawcy przysługuje prawo do odwołania od:</w:t>
      </w:r>
    </w:p>
    <w:p w14:paraId="23B6DFAE" w14:textId="77777777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oceny merytorycznej w zakresie warunków udzielenia wsparcia, albo</w:t>
      </w:r>
    </w:p>
    <w:p w14:paraId="39AFDF91" w14:textId="77777777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oceny merytorycznej w zakresie zgodności z kryteriami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albo</w:t>
      </w:r>
    </w:p>
    <w:p w14:paraId="2B2090D9" w14:textId="77777777" w:rsidR="00AC5305" w:rsidRPr="001B7308" w:rsidRDefault="00AC5305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ustalenia przez Radę LGD kwoty grantu niższej niż wnioskowana.</w:t>
      </w:r>
    </w:p>
    <w:p w14:paraId="1B61A023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 musi zawierać co najmniej:</w:t>
      </w:r>
    </w:p>
    <w:p w14:paraId="0B492740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oznaczenie instytucji właściwej do rozpatrzenia odwołania (LGD),</w:t>
      </w:r>
    </w:p>
    <w:p w14:paraId="10736F23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oznaczenie wnioskodawcy, znak sprawy - indywidualny numer sprawy, numer konkursu,</w:t>
      </w:r>
    </w:p>
    <w:p w14:paraId="377B3DA0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wskazanie kryteriów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z których oceną się nie zgadza lub wskazanie, w jakim zakresie wnioskodawca nie zgadza się z negatywną weryfikacją wniosku z warunkami udzielenia wsparcia oraz uzasadnienie stanowiska wnioskodawcy,</w:t>
      </w:r>
    </w:p>
    <w:p w14:paraId="0DF7E78A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wskazanie zarzutów o charakterze proceduralnym w zakresie przeprowadzonej oceny, jeżeli zdaniem wnioskodawcy, naruszenia takie miały miejsce, wraz z uzasadnieniem,</w:t>
      </w:r>
    </w:p>
    <w:p w14:paraId="7A7A4663" w14:textId="77777777" w:rsidR="00AC5305" w:rsidRPr="001B7308" w:rsidRDefault="00AC5305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podpis wnioskodawcy lub osoby upoważnionej do jego reprezentowania, z załączeniem oryginału lub kopii dokumentu poświadczającego umocowanie takiej osoby do reprezentowania tego wnioskodawcy, jeżeli nie wynika to z ogólnodostępnych rejestrów publicznych.</w:t>
      </w:r>
    </w:p>
    <w:p w14:paraId="3FEB3914" w14:textId="5AAF041D" w:rsidR="00AC5305" w:rsidRPr="00B76874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76874">
        <w:rPr>
          <w:rFonts w:asciiTheme="majorHAnsi" w:hAnsiTheme="majorHAnsi" w:cstheme="majorHAnsi"/>
        </w:rPr>
        <w:t>Odwołanie wnosi się w terminie do 7 dni od dnia opublikowania na stronie internetowej LGD wstępnej listy rankingowej.</w:t>
      </w:r>
      <w:r w:rsidR="00B76874">
        <w:rPr>
          <w:rFonts w:asciiTheme="majorHAnsi" w:hAnsiTheme="majorHAnsi" w:cstheme="majorHAnsi"/>
        </w:rPr>
        <w:t xml:space="preserve"> </w:t>
      </w:r>
      <w:bookmarkStart w:id="6" w:name="_GoBack"/>
      <w:bookmarkEnd w:id="6"/>
    </w:p>
    <w:p w14:paraId="3DF98A82" w14:textId="77777777" w:rsidR="00AC5305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 wnoszone jest w formie i poprzez kanał komunikacji wskazany w ogłoszeniu konkursu.</w:t>
      </w:r>
    </w:p>
    <w:p w14:paraId="4F3C3B0A" w14:textId="11665394" w:rsidR="009F7BDD" w:rsidRPr="001B7308" w:rsidRDefault="00AC5305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 datę wniesienia odwołania zgodnie z formą wskazaną w ogłoszeniu konkursu uznaje się jego faktyczny wpływ do: biura LGD lub w systemie IT LGD.</w:t>
      </w:r>
    </w:p>
    <w:p w14:paraId="0EC730E9" w14:textId="5D68F93E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1F273D" w:rsidRPr="001B7308">
        <w:rPr>
          <w:rFonts w:asciiTheme="majorHAnsi" w:hAnsiTheme="majorHAnsi" w:cstheme="majorHAnsi"/>
          <w:color w:val="000000"/>
        </w:rPr>
        <w:t>3</w:t>
      </w:r>
    </w:p>
    <w:p w14:paraId="6D1AD349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pozostaje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bez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rozpatrzenia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przypadku,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  <w:spacing w:val="-4"/>
        </w:rPr>
        <w:t>gdy:</w:t>
      </w:r>
    </w:p>
    <w:p w14:paraId="39289985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zostało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wniesione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po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upływie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wskazanego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terminu,</w:t>
      </w:r>
    </w:p>
    <w:p w14:paraId="659662D9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zostało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wniesione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przez</w:t>
      </w:r>
      <w:r w:rsidRPr="001B7308">
        <w:rPr>
          <w:rFonts w:asciiTheme="majorHAnsi" w:hAnsiTheme="majorHAnsi" w:cstheme="majorHAnsi"/>
          <w:spacing w:val="38"/>
        </w:rPr>
        <w:t xml:space="preserve"> </w:t>
      </w:r>
      <w:r w:rsidRPr="001B7308">
        <w:rPr>
          <w:rFonts w:asciiTheme="majorHAnsi" w:hAnsiTheme="majorHAnsi" w:cstheme="majorHAnsi"/>
        </w:rPr>
        <w:t>nieuprawniony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podmiot,</w:t>
      </w:r>
      <w:r w:rsidRPr="001B7308">
        <w:rPr>
          <w:rFonts w:asciiTheme="majorHAnsi" w:hAnsiTheme="majorHAnsi" w:cstheme="majorHAnsi"/>
          <w:spacing w:val="35"/>
        </w:rPr>
        <w:t xml:space="preserve"> </w:t>
      </w:r>
      <w:r w:rsidRPr="001B7308">
        <w:rPr>
          <w:rFonts w:asciiTheme="majorHAnsi" w:hAnsiTheme="majorHAnsi" w:cstheme="majorHAnsi"/>
        </w:rPr>
        <w:t>tzn.</w:t>
      </w:r>
      <w:r w:rsidRPr="001B7308">
        <w:rPr>
          <w:rFonts w:asciiTheme="majorHAnsi" w:hAnsiTheme="majorHAnsi" w:cstheme="majorHAnsi"/>
          <w:spacing w:val="36"/>
        </w:rPr>
        <w:t xml:space="preserve"> </w:t>
      </w:r>
      <w:r w:rsidRPr="001B7308">
        <w:rPr>
          <w:rFonts w:asciiTheme="majorHAnsi" w:hAnsiTheme="majorHAnsi" w:cstheme="majorHAnsi"/>
        </w:rPr>
        <w:t>nie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będący</w:t>
      </w:r>
      <w:r w:rsidRPr="001B7308">
        <w:rPr>
          <w:rFonts w:asciiTheme="majorHAnsi" w:hAnsiTheme="majorHAnsi" w:cstheme="majorHAnsi"/>
          <w:spacing w:val="38"/>
        </w:rPr>
        <w:t xml:space="preserve"> </w:t>
      </w:r>
      <w:r w:rsidRPr="001B7308">
        <w:rPr>
          <w:rFonts w:asciiTheme="majorHAnsi" w:hAnsiTheme="majorHAnsi" w:cstheme="majorHAnsi"/>
          <w:strike/>
        </w:rPr>
        <w:t xml:space="preserve"> </w:t>
      </w:r>
      <w:r w:rsidRPr="001B7308">
        <w:rPr>
          <w:rFonts w:asciiTheme="majorHAnsi" w:hAnsiTheme="majorHAnsi" w:cstheme="majorHAnsi"/>
        </w:rPr>
        <w:t xml:space="preserve"> wnioskodawcą,</w:t>
      </w:r>
    </w:p>
    <w:p w14:paraId="555B0F60" w14:textId="77777777" w:rsidR="00AC5305" w:rsidRPr="001B7308" w:rsidRDefault="00AC5305">
      <w:pPr>
        <w:pStyle w:val="Akapitzlist"/>
        <w:numPr>
          <w:ilvl w:val="1"/>
          <w:numId w:val="6"/>
        </w:numPr>
        <w:ind w:left="144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zawierało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pisemnego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uzasadnienia.</w:t>
      </w:r>
    </w:p>
    <w:p w14:paraId="2169A8F9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Niezwłocznie po upływie terminu na składanie </w:t>
      </w:r>
      <w:proofErr w:type="spellStart"/>
      <w:r w:rsidRPr="001B7308">
        <w:rPr>
          <w:rFonts w:asciiTheme="majorHAnsi" w:hAnsiTheme="majorHAnsi" w:cstheme="majorHAnsi"/>
        </w:rPr>
        <w:t>odwołań</w:t>
      </w:r>
      <w:proofErr w:type="spellEnd"/>
      <w:r w:rsidRPr="001B7308">
        <w:rPr>
          <w:rFonts w:asciiTheme="majorHAnsi" w:hAnsiTheme="majorHAnsi" w:cstheme="majorHAnsi"/>
        </w:rPr>
        <w:t xml:space="preserve"> biuro LGD zawiadamia Przewodniczącego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Rady o ewentualnym fakcie wpłynięcia odwołania/</w:t>
      </w:r>
      <w:proofErr w:type="spellStart"/>
      <w:r w:rsidRPr="001B7308">
        <w:rPr>
          <w:rFonts w:asciiTheme="majorHAnsi" w:hAnsiTheme="majorHAnsi" w:cstheme="majorHAnsi"/>
        </w:rPr>
        <w:t>odwołań</w:t>
      </w:r>
      <w:proofErr w:type="spellEnd"/>
      <w:r w:rsidRPr="001B7308">
        <w:rPr>
          <w:rFonts w:asciiTheme="majorHAnsi" w:hAnsiTheme="majorHAnsi" w:cstheme="majorHAnsi"/>
        </w:rPr>
        <w:t>. W przypadku wpłynięcia odwołania Przewodniczący zwołuje posiedzenie Rady, na którym dokonywane jest rozpatrzenie odwołania.</w:t>
      </w:r>
    </w:p>
    <w:p w14:paraId="6D841CCA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momencie ponownego rozpatrywania wniosku o powierzenie grantów członkowie Rady rozpatrują wniosek na podstawie kryteriów obowiązujących w danym konkursie i tylko w tych elementach, których dotyczy uzasadnienie podane przez wnioskodawcę.</w:t>
      </w:r>
    </w:p>
    <w:p w14:paraId="00516467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o powierzenie grantu, który w wyniku ponownego rozpatrzenia uzyskał liczbę punktów kwalifikujących go do objęcia wsparciem w danym konkursie, zyskuje prawo dofinansowania. Ten fakt może spowodować przeniesienie wniosku o mniejszej liczbie punktów z listy rankingowej na listę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rezerwowych.</w:t>
      </w:r>
    </w:p>
    <w:p w14:paraId="4D857000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Odwołanie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dotyczące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konkretnego wniosku może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zostać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złożone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tylko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jeden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  <w:spacing w:val="-4"/>
        </w:rPr>
        <w:t>raz.</w:t>
      </w:r>
    </w:p>
    <w:p w14:paraId="13268CC4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pozytywnego rozpatrzenia odwołania, wiążącego się ze zmianą listy wniosków o powierzenie grantów zgodnych warunkami udzielenia wsparcia lub wybranych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Rada uchwala zmienioną listę. Niezwłocznie po zakończeniu posiedzenia Biuro LGD publikuje na stronie internetowej LGD listę rankingową wniosków o powierzenie grantów zgodnych z warunkami udzielenia wsparcia ze wskazaniem,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 xml:space="preserve">które z nich mieszczą się w limicie środków </w:t>
      </w:r>
      <w:r w:rsidRPr="001B7308">
        <w:rPr>
          <w:rFonts w:asciiTheme="majorHAnsi" w:hAnsiTheme="majorHAnsi" w:cstheme="majorHAnsi"/>
        </w:rPr>
        <w:lastRenderedPageBreak/>
        <w:t xml:space="preserve">wskazanym w ogłoszeniu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>, z uwzględnieniem wyników procedury odwoławczej.</w:t>
      </w:r>
    </w:p>
    <w:p w14:paraId="48F2F81F" w14:textId="77777777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Niezwłocznie po opublikowaniu ostatecznych list Biuro LGD kontaktuje się poprzez system IT LGD z wnioskodawcami, których sytuacja uległa zmianie w wyniku przeprowadzonej procedury odwoławczej. </w:t>
      </w:r>
    </w:p>
    <w:p w14:paraId="2C258A97" w14:textId="6475C0C2" w:rsidR="00AC5305" w:rsidRPr="00E03AAC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  <w:color w:val="EE0000"/>
        </w:rPr>
      </w:pPr>
      <w:r w:rsidRPr="001B7308">
        <w:rPr>
          <w:rFonts w:asciiTheme="majorHAnsi" w:hAnsiTheme="majorHAnsi" w:cstheme="majorHAnsi"/>
        </w:rPr>
        <w:t xml:space="preserve">Niezwłocznie po opublikowaniu ostatecznej listy rankingowej Biuro LGD przekazuje wnioskodawcom </w:t>
      </w:r>
      <w:r w:rsidRPr="00D6517F">
        <w:rPr>
          <w:rFonts w:asciiTheme="majorHAnsi" w:hAnsiTheme="majorHAnsi" w:cstheme="majorHAnsi"/>
        </w:rPr>
        <w:t xml:space="preserve">pismo informujące o wynikach wyboru. </w:t>
      </w:r>
      <w:r w:rsidRPr="001B7308">
        <w:rPr>
          <w:rFonts w:asciiTheme="majorHAnsi" w:hAnsiTheme="majorHAnsi" w:cstheme="majorHAnsi"/>
        </w:rPr>
        <w:t>Wzór Pisma o wynikach wyboru stanowi załącznik nr 13b.</w:t>
      </w:r>
      <w:r w:rsidR="00E03AAC">
        <w:rPr>
          <w:rFonts w:asciiTheme="majorHAnsi" w:hAnsiTheme="majorHAnsi" w:cstheme="majorHAnsi"/>
        </w:rPr>
        <w:t xml:space="preserve"> –</w:t>
      </w:r>
      <w:r w:rsidR="00E03AAC" w:rsidRPr="00E03AAC">
        <w:rPr>
          <w:rFonts w:asciiTheme="majorHAnsi" w:hAnsiTheme="majorHAnsi" w:cstheme="majorHAnsi"/>
          <w:color w:val="EE0000"/>
        </w:rPr>
        <w:t xml:space="preserve"> </w:t>
      </w:r>
    </w:p>
    <w:p w14:paraId="0E5D4E8D" w14:textId="7302F4D9" w:rsidR="00AC5305" w:rsidRPr="001B7308" w:rsidRDefault="00AC5305">
      <w:pPr>
        <w:pStyle w:val="Akapitzlist"/>
        <w:numPr>
          <w:ilvl w:val="0"/>
          <w:numId w:val="6"/>
        </w:numPr>
        <w:ind w:left="72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>Decyzja Rad</w:t>
      </w:r>
      <w:r w:rsidR="001B7308">
        <w:rPr>
          <w:rFonts w:asciiTheme="majorHAnsi" w:eastAsia="Calibri" w:hAnsiTheme="majorHAnsi" w:cstheme="majorHAnsi"/>
        </w:rPr>
        <w:t>y</w:t>
      </w:r>
      <w:r w:rsidRPr="001B7308">
        <w:rPr>
          <w:rFonts w:asciiTheme="majorHAnsi" w:eastAsia="Calibri" w:hAnsiTheme="majorHAnsi" w:cstheme="majorHAnsi"/>
        </w:rPr>
        <w:t xml:space="preserve"> po rozpatrzeniu </w:t>
      </w:r>
      <w:proofErr w:type="spellStart"/>
      <w:r w:rsidRPr="001B7308">
        <w:rPr>
          <w:rFonts w:asciiTheme="majorHAnsi" w:eastAsia="Calibri" w:hAnsiTheme="majorHAnsi" w:cstheme="majorHAnsi"/>
        </w:rPr>
        <w:t>odwołań</w:t>
      </w:r>
      <w:proofErr w:type="spellEnd"/>
      <w:r w:rsidRPr="001B7308">
        <w:rPr>
          <w:rFonts w:asciiTheme="majorHAnsi" w:eastAsia="Calibri" w:hAnsiTheme="majorHAnsi" w:cstheme="majorHAnsi"/>
        </w:rPr>
        <w:t xml:space="preserve"> jest ostateczna i nie przysługuje od niej kolejne odwołanie.</w:t>
      </w:r>
    </w:p>
    <w:p w14:paraId="2C9B2D3F" w14:textId="77777777" w:rsidR="00AC5305" w:rsidRPr="001B7308" w:rsidRDefault="00AC5305" w:rsidP="00AC5305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§24</w:t>
      </w:r>
    </w:p>
    <w:p w14:paraId="5823A24D" w14:textId="77777777" w:rsidR="00AC5305" w:rsidRPr="001B7308" w:rsidRDefault="00AC530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po zakończeniu procesu wyboru wniosku i uprawomocnieniu się uchwał w </w:t>
      </w:r>
      <w:r w:rsidRPr="001B7308">
        <w:rPr>
          <w:rFonts w:asciiTheme="majorHAnsi" w:eastAsia="Calibri" w:hAnsiTheme="majorHAnsi" w:cstheme="majorHAnsi"/>
        </w:rPr>
        <w:t xml:space="preserve">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eastAsia="Calibri" w:hAnsiTheme="majorHAnsi" w:cstheme="majorHAnsi"/>
        </w:rPr>
        <w:t xml:space="preserve"> Biuro LGD</w:t>
      </w:r>
      <w:r w:rsidRPr="001B7308">
        <w:rPr>
          <w:rFonts w:asciiTheme="majorHAnsi" w:hAnsiTheme="majorHAnsi" w:cstheme="majorHAnsi"/>
        </w:rPr>
        <w:t xml:space="preserve"> informuje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o wyniku oceny i wyboru, w tym o odmowie przyznania grantu z podaniem jej przyczyn, za pomocą systemu IT LGD. Pismo w tej sprawie przygotowywane jest przez Biuro LGD na podstawie uchwał Rady LGD. </w:t>
      </w:r>
    </w:p>
    <w:p w14:paraId="743C8FFD" w14:textId="2659A792" w:rsidR="00AC5305" w:rsidRPr="001B7308" w:rsidRDefault="00AC530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pisma informującego wnioskodawcę o wynikach wyboru stanowi Załącznik nr 13</w:t>
      </w:r>
      <w:r w:rsidR="00E03AAC">
        <w:rPr>
          <w:rFonts w:asciiTheme="majorHAnsi" w:hAnsiTheme="majorHAnsi" w:cstheme="majorHAnsi"/>
          <w:color w:val="EE0000"/>
        </w:rPr>
        <w:t>b</w:t>
      </w:r>
      <w:r w:rsidRPr="001B7308">
        <w:rPr>
          <w:rFonts w:asciiTheme="majorHAnsi" w:hAnsiTheme="majorHAnsi" w:cstheme="majorHAnsi"/>
        </w:rPr>
        <w:t>.</w:t>
      </w:r>
    </w:p>
    <w:p w14:paraId="3F9EF0D8" w14:textId="77777777" w:rsidR="0000795C" w:rsidRPr="001B7308" w:rsidRDefault="0000795C" w:rsidP="0000795C">
      <w:pPr>
        <w:pStyle w:val="Nagwek2"/>
        <w:rPr>
          <w:rFonts w:cstheme="majorHAnsi"/>
          <w:color w:val="002060"/>
          <w:sz w:val="24"/>
          <w:szCs w:val="24"/>
        </w:rPr>
      </w:pPr>
      <w:r w:rsidRPr="001B7308">
        <w:rPr>
          <w:rFonts w:cstheme="majorHAnsi"/>
          <w:color w:val="002060"/>
          <w:sz w:val="24"/>
          <w:szCs w:val="24"/>
        </w:rPr>
        <w:t>Podpisanie umowy</w:t>
      </w:r>
    </w:p>
    <w:p w14:paraId="4F8A768B" w14:textId="77777777" w:rsidR="0000795C" w:rsidRPr="001B7308" w:rsidRDefault="0000795C" w:rsidP="0000795C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§25</w:t>
      </w:r>
    </w:p>
    <w:p w14:paraId="3FC760D0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celu realizacji zadania, LGD podpisuje z </w:t>
      </w:r>
      <w:proofErr w:type="spellStart"/>
      <w:r w:rsidRPr="001B7308">
        <w:rPr>
          <w:rFonts w:asciiTheme="majorHAnsi" w:hAnsiTheme="majorHAnsi" w:cstheme="majorHAnsi"/>
        </w:rPr>
        <w:t>Grantobiorcą</w:t>
      </w:r>
      <w:proofErr w:type="spellEnd"/>
      <w:r w:rsidRPr="001B7308">
        <w:rPr>
          <w:rFonts w:asciiTheme="majorHAnsi" w:hAnsiTheme="majorHAnsi" w:cstheme="majorHAnsi"/>
        </w:rPr>
        <w:t xml:space="preserve"> umowę o powierzenie grantu. </w:t>
      </w:r>
    </w:p>
    <w:p w14:paraId="5ED9D97D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eastAsia="Calibri" w:hAnsiTheme="majorHAnsi" w:cstheme="majorHAnsi"/>
        </w:rPr>
        <w:t xml:space="preserve">Po wejściu w życie uchwał w sprawie wyboru </w:t>
      </w:r>
      <w:proofErr w:type="spellStart"/>
      <w:r w:rsidRPr="001B7308">
        <w:rPr>
          <w:rFonts w:asciiTheme="majorHAnsi" w:eastAsia="Calibr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Biuro LGD przygotowuje Umowę o powierzenie grantu, którą następnie udostępnia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za pośrednictwem systemu IT LGD, informując go jednocześnie o miejscu i terminie podpisania umowy, nie dłuższym niż 14 dni od przekazania niniejszej informacji.</w:t>
      </w:r>
    </w:p>
    <w:p w14:paraId="667966A7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przypadku, gdy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nie stawi się w terminie na podpisane umowy, zostanie to potraktowane jako odstąpienie od podpisania umowy.</w:t>
      </w:r>
    </w:p>
    <w:p w14:paraId="5A63F121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Umowa o powierzenie grantu podpisywana jest przez osoby upoważnione do reprezentacji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. </w:t>
      </w:r>
    </w:p>
    <w:p w14:paraId="47265E5F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Wzór umowy o powierzenie grantu stanowi Załącznik nr 14.</w:t>
      </w:r>
    </w:p>
    <w:p w14:paraId="25FF451F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Przy podpisaniu umowy o powierzenie grantu wymagane jest wniesienie przez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zabezpieczenia prawidłowej realizacji grantu. </w:t>
      </w:r>
    </w:p>
    <w:p w14:paraId="4D0B6B3C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Zabezpieczenie składane jest w formie weksla in blanco wraz z deklaracją wekslową.</w:t>
      </w:r>
    </w:p>
    <w:p w14:paraId="4A1DC6BF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Jest ono uruchamiane wtedy, kiedy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w wyniku nieprawidłowej realizacji zadania jest zobowiązany do zwrotu grantu. Zabezpieczenie prawidłowej realizacji umowy o powierzenie grantu zostaje zdeponowane w Biurze LGD.</w:t>
      </w:r>
    </w:p>
    <w:p w14:paraId="735E6114" w14:textId="77777777" w:rsidR="009F7BDD" w:rsidRPr="001B7308" w:rsidRDefault="009F7BDD">
      <w:pPr>
        <w:pStyle w:val="Akapitzlist"/>
        <w:numPr>
          <w:ilvl w:val="0"/>
          <w:numId w:val="8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LGD zwraca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weksel:</w:t>
      </w:r>
    </w:p>
    <w:p w14:paraId="06BF385A" w14:textId="77777777" w:rsidR="009F7BDD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 upływie 5 lat od otrzymania przez LGD płatności za projekt grantowy pod warunkiem wypełnienia przez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wszystkich zobowiązań określonych w umowie o powierzenie grantu; </w:t>
      </w:r>
    </w:p>
    <w:p w14:paraId="70E18060" w14:textId="77777777" w:rsidR="009F7BDD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rozwiązania przez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umowy o powierzenie grantu przed otrzymaniem środków pieniężnych;</w:t>
      </w:r>
    </w:p>
    <w:p w14:paraId="1A9D7447" w14:textId="13C8F93E" w:rsidR="000958DB" w:rsidRPr="001B7308" w:rsidRDefault="009F7BDD">
      <w:pPr>
        <w:pStyle w:val="Akapitzlist"/>
        <w:numPr>
          <w:ilvl w:val="0"/>
          <w:numId w:val="21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przypadku zwrotu przez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</w:rPr>
        <w:t xml:space="preserve"> kwoty grantu wraz z należnymi odsetkami.</w:t>
      </w:r>
    </w:p>
    <w:p w14:paraId="6405A830" w14:textId="77777777" w:rsidR="00A325A2" w:rsidRPr="001B7308" w:rsidRDefault="00A325A2" w:rsidP="00A325A2">
      <w:pPr>
        <w:pStyle w:val="Akapitzlist"/>
        <w:ind w:left="1068"/>
        <w:rPr>
          <w:rFonts w:asciiTheme="majorHAnsi" w:hAnsiTheme="majorHAnsi" w:cstheme="majorHAnsi"/>
        </w:rPr>
      </w:pPr>
    </w:p>
    <w:p w14:paraId="258293B3" w14:textId="77777777" w:rsidR="000958DB" w:rsidRPr="001B7308" w:rsidRDefault="000958DB" w:rsidP="000958DB">
      <w:pPr>
        <w:pStyle w:val="Nagwek2"/>
        <w:rPr>
          <w:rFonts w:cstheme="majorHAnsi"/>
          <w:color w:val="002060"/>
          <w:sz w:val="22"/>
          <w:szCs w:val="22"/>
        </w:rPr>
      </w:pPr>
      <w:r w:rsidRPr="001B7308">
        <w:rPr>
          <w:rFonts w:cstheme="majorHAnsi"/>
          <w:color w:val="002060"/>
          <w:sz w:val="24"/>
          <w:szCs w:val="24"/>
        </w:rPr>
        <w:lastRenderedPageBreak/>
        <w:t xml:space="preserve">Rozliczenie, kontrola i sprawozdawczości z realizacji zadań realizowanych przez </w:t>
      </w:r>
      <w:proofErr w:type="spellStart"/>
      <w:r w:rsidRPr="001B7308">
        <w:rPr>
          <w:rFonts w:cstheme="majorHAnsi"/>
          <w:color w:val="002060"/>
          <w:sz w:val="24"/>
          <w:szCs w:val="24"/>
        </w:rPr>
        <w:t>Grantobiorców</w:t>
      </w:r>
      <w:proofErr w:type="spellEnd"/>
      <w:r w:rsidRPr="001B7308">
        <w:rPr>
          <w:rFonts w:cstheme="majorHAnsi"/>
          <w:color w:val="002060"/>
          <w:sz w:val="22"/>
          <w:szCs w:val="22"/>
        </w:rPr>
        <w:t>.</w:t>
      </w:r>
    </w:p>
    <w:p w14:paraId="1D68ED95" w14:textId="77777777" w:rsidR="006867F9" w:rsidRPr="001B7308" w:rsidRDefault="006867F9" w:rsidP="006867F9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7F0E89" w:rsidRPr="001B7308">
        <w:rPr>
          <w:rFonts w:asciiTheme="majorHAnsi" w:hAnsiTheme="majorHAnsi" w:cstheme="majorHAnsi"/>
          <w:color w:val="000000"/>
        </w:rPr>
        <w:t>6</w:t>
      </w:r>
    </w:p>
    <w:p w14:paraId="5D6F1F68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 celu zabezpieczenia prawidłowej realizacji zadania LGD prowadzi kontrole i monitoring realizacji wszystkich zadań grantowych.</w:t>
      </w:r>
    </w:p>
    <w:p w14:paraId="0B14AE0E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Celem monitoringu jest sprawdzenie prawidłowości realizacji operacji, prawidłowości sporządzania dokumentacji z realizacji operacji i dokonywania wydatków oraz zidentyfikowania ewentualnych problemów w realizacji operacji.</w:t>
      </w:r>
    </w:p>
    <w:p w14:paraId="3365F753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Monitoring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prawidłowej</w:t>
      </w:r>
      <w:r w:rsidRPr="001B7308">
        <w:rPr>
          <w:rFonts w:asciiTheme="majorHAnsi" w:hAnsiTheme="majorHAnsi" w:cstheme="majorHAnsi"/>
          <w:spacing w:val="-8"/>
        </w:rPr>
        <w:t xml:space="preserve"> </w:t>
      </w:r>
      <w:r w:rsidRPr="001B7308">
        <w:rPr>
          <w:rFonts w:asciiTheme="majorHAnsi" w:hAnsiTheme="majorHAnsi" w:cstheme="majorHAnsi"/>
        </w:rPr>
        <w:t>realizacji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operacji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polega</w:t>
      </w:r>
      <w:r w:rsidRPr="001B7308">
        <w:rPr>
          <w:rFonts w:asciiTheme="majorHAnsi" w:hAnsiTheme="majorHAnsi" w:cstheme="majorHAnsi"/>
          <w:spacing w:val="-5"/>
        </w:rPr>
        <w:t xml:space="preserve"> na:</w:t>
      </w:r>
    </w:p>
    <w:p w14:paraId="69CDF362" w14:textId="77777777" w:rsidR="000958DB" w:rsidRPr="001B7308" w:rsidRDefault="000958DB">
      <w:pPr>
        <w:pStyle w:val="Akapitzlist"/>
        <w:numPr>
          <w:ilvl w:val="0"/>
          <w:numId w:val="22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Monitoringu merytorycznym – w zakresie prawidłowości realizacji poszczególnych działań w ramach operacji,</w:t>
      </w:r>
    </w:p>
    <w:p w14:paraId="1CFED457" w14:textId="77777777" w:rsidR="000958DB" w:rsidRPr="001B7308" w:rsidRDefault="000958DB">
      <w:pPr>
        <w:pStyle w:val="Akapitzlist"/>
        <w:numPr>
          <w:ilvl w:val="0"/>
          <w:numId w:val="22"/>
        </w:numPr>
        <w:ind w:left="708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Monitoringu finansowym – w zakresie prawidłowości wydatkowania grantu i prowadzenia dokumentacji finansowo-księgowej.</w:t>
      </w:r>
    </w:p>
    <w:p w14:paraId="7724C9FF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Weryfikacja poprawności realizacji zadań odbywa się w szczególności na podstawie wniosku o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rozliczenie grantu ze sprawozdaniem z realizacji grantu oraz notatek z wizytacji przeprowadzonych w trakcie realizacji grantu (dokonywanych przez LGD). Dodatkowo również na podstawie sprawozdań i innych informacji pokontrolnych grantu prowadzonych przez instytucje inne niż LGD.</w:t>
      </w:r>
    </w:p>
    <w:p w14:paraId="596624E9" w14:textId="77777777" w:rsidR="000958DB" w:rsidRPr="001B7308" w:rsidRDefault="000958DB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Weryfikacji podlegają wszystkie elementy wskazane w przepisach i Wytycznych właściwych w tym </w:t>
      </w:r>
      <w:r w:rsidRPr="001B7308">
        <w:rPr>
          <w:rFonts w:asciiTheme="majorHAnsi" w:hAnsiTheme="majorHAnsi" w:cstheme="majorHAnsi"/>
          <w:spacing w:val="-2"/>
        </w:rPr>
        <w:t xml:space="preserve">zakresie. </w:t>
      </w: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może</w:t>
      </w:r>
      <w:r w:rsidRPr="001B7308">
        <w:rPr>
          <w:rFonts w:asciiTheme="majorHAnsi" w:hAnsiTheme="majorHAnsi" w:cstheme="majorHAnsi"/>
          <w:spacing w:val="-6"/>
        </w:rPr>
        <w:t xml:space="preserve"> </w:t>
      </w:r>
      <w:r w:rsidRPr="001B7308">
        <w:rPr>
          <w:rFonts w:asciiTheme="majorHAnsi" w:hAnsiTheme="majorHAnsi" w:cstheme="majorHAnsi"/>
        </w:rPr>
        <w:t>zlecić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wykonanie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kontroli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zewnętrznym</w:t>
      </w:r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ekspertom.</w:t>
      </w:r>
    </w:p>
    <w:p w14:paraId="56488D7B" w14:textId="77777777" w:rsidR="00201B1D" w:rsidRPr="001B7308" w:rsidRDefault="00201B1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Monitoring i kontrolę LGD prowadzi zarówno w czasie realizacji operacji, jak i po jej zrealizowaniu w okresie 5 lat od dnia końcowej wypłaty pomocy LGD na realizację projektu grantowego. W tym czasie ma prawo żądania od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>, udzielenia wszelkich informacji i wyjaśnień związanych z realizacją operacji.</w:t>
      </w:r>
    </w:p>
    <w:p w14:paraId="09889104" w14:textId="77777777" w:rsidR="000958DB" w:rsidRPr="001B7308" w:rsidRDefault="00DC70F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 </w:t>
      </w:r>
      <w:r w:rsidR="000958DB" w:rsidRPr="001B7308">
        <w:rPr>
          <w:rFonts w:asciiTheme="majorHAnsi" w:hAnsiTheme="majorHAnsi" w:cstheme="majorHAnsi"/>
        </w:rPr>
        <w:t xml:space="preserve">planowanym przeprowadzeniu monitoringu Biuro LGD informuje </w:t>
      </w:r>
      <w:proofErr w:type="spellStart"/>
      <w:r w:rsidR="000958DB" w:rsidRPr="001B7308">
        <w:rPr>
          <w:rFonts w:asciiTheme="majorHAnsi" w:hAnsiTheme="majorHAnsi" w:cstheme="majorHAnsi"/>
        </w:rPr>
        <w:t>Grantobiorcę</w:t>
      </w:r>
      <w:proofErr w:type="spellEnd"/>
      <w:r w:rsidR="000958DB" w:rsidRPr="001B7308">
        <w:rPr>
          <w:rFonts w:asciiTheme="majorHAnsi" w:hAnsiTheme="majorHAnsi" w:cstheme="majorHAnsi"/>
        </w:rPr>
        <w:t xml:space="preserve"> </w:t>
      </w:r>
      <w:r w:rsidR="0000795C" w:rsidRPr="001B7308">
        <w:rPr>
          <w:rFonts w:asciiTheme="majorHAnsi" w:hAnsiTheme="majorHAnsi" w:cstheme="majorHAnsi"/>
        </w:rPr>
        <w:t>w systemie IT LGD</w:t>
      </w:r>
      <w:r w:rsidR="000958DB" w:rsidRPr="001B7308">
        <w:rPr>
          <w:rFonts w:asciiTheme="majorHAnsi" w:hAnsiTheme="majorHAnsi" w:cstheme="majorHAnsi"/>
        </w:rPr>
        <w:t>.</w:t>
      </w:r>
    </w:p>
    <w:p w14:paraId="1D865AE7" w14:textId="77777777" w:rsidR="009F7BDD" w:rsidRPr="001B7308" w:rsidRDefault="009F7BD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Monitoring i kontrola mogą być przeprowadzone zarówno u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w miejscu realizacji zadania, jak i w LGD.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może być zobowiązany do przygotowania i dostarczenia do LGD żądanych dokumentów, do udzielenia wszelkich informacji i wyjaśnień związanych z realizacją zadania w wyznaczonym terminie, a także do udostępnienia miejsca realizacji zadania.</w:t>
      </w:r>
    </w:p>
    <w:p w14:paraId="78DE9D36" w14:textId="4D79C9F9" w:rsidR="009F7BDD" w:rsidRPr="00C71E6D" w:rsidRDefault="009F7BDD">
      <w:pPr>
        <w:pStyle w:val="Akapitzlist"/>
        <w:numPr>
          <w:ilvl w:val="0"/>
          <w:numId w:val="5"/>
        </w:numPr>
        <w:ind w:left="360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Możliwe jest przeprowadzenie kontroli doraźnej, bez konieczności informowania </w:t>
      </w:r>
      <w:proofErr w:type="spellStart"/>
      <w:r w:rsidRPr="001B7308">
        <w:rPr>
          <w:rFonts w:asciiTheme="majorHAnsi" w:hAnsiTheme="majorHAnsi" w:cstheme="majorHAnsi"/>
        </w:rPr>
        <w:t>Grantobiorcy</w:t>
      </w:r>
      <w:proofErr w:type="spellEnd"/>
      <w:r w:rsidRPr="001B7308">
        <w:rPr>
          <w:rFonts w:asciiTheme="majorHAnsi" w:hAnsiTheme="majorHAnsi" w:cstheme="majorHAnsi"/>
        </w:rPr>
        <w:t xml:space="preserve"> o zamiarze jej przeprowadzenia.</w:t>
      </w:r>
    </w:p>
    <w:p w14:paraId="572FEAA4" w14:textId="77777777" w:rsidR="006867F9" w:rsidRPr="001B7308" w:rsidRDefault="006867F9" w:rsidP="00C71E6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  <w:color w:val="000000"/>
        </w:rPr>
      </w:pPr>
      <w:r w:rsidRPr="001B7308">
        <w:rPr>
          <w:rFonts w:asciiTheme="majorHAnsi" w:hAnsiTheme="majorHAnsi" w:cstheme="majorHAnsi"/>
          <w:color w:val="000000"/>
        </w:rPr>
        <w:t>§</w:t>
      </w:r>
      <w:r w:rsidR="00BD3215" w:rsidRPr="001B7308">
        <w:rPr>
          <w:rFonts w:asciiTheme="majorHAnsi" w:hAnsiTheme="majorHAnsi" w:cstheme="majorHAnsi"/>
          <w:color w:val="000000"/>
        </w:rPr>
        <w:t>2</w:t>
      </w:r>
      <w:r w:rsidR="007F0E89" w:rsidRPr="001B7308">
        <w:rPr>
          <w:rFonts w:asciiTheme="majorHAnsi" w:hAnsiTheme="majorHAnsi" w:cstheme="majorHAnsi"/>
          <w:color w:val="000000"/>
        </w:rPr>
        <w:t>7</w:t>
      </w:r>
    </w:p>
    <w:p w14:paraId="44BF52C2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Wniosek o rozliczenie grantu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składa w terminie 21 dni po zakończeniu realizacji grantu w systemie IT LGD.</w:t>
      </w:r>
    </w:p>
    <w:p w14:paraId="7AD6ACA6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Wzór wniosku o rozliczenie grantu stanowi załącznik nr 15. </w:t>
      </w:r>
    </w:p>
    <w:p w14:paraId="18AA43C9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LGD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</w:rPr>
        <w:t>może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r w:rsidRPr="001B7308">
        <w:rPr>
          <w:rFonts w:asciiTheme="majorHAnsi" w:hAnsiTheme="majorHAnsi" w:cstheme="majorHAnsi"/>
        </w:rPr>
        <w:t>wezwać</w:t>
      </w:r>
      <w:r w:rsidRPr="001B7308">
        <w:rPr>
          <w:rFonts w:asciiTheme="majorHAnsi" w:hAnsiTheme="majorHAnsi" w:cstheme="majorHAnsi"/>
          <w:spacing w:val="-4"/>
        </w:rPr>
        <w:t xml:space="preserve"> </w:t>
      </w:r>
      <w:proofErr w:type="spellStart"/>
      <w:r w:rsidRPr="001B7308">
        <w:rPr>
          <w:rFonts w:asciiTheme="majorHAnsi" w:hAnsiTheme="majorHAnsi" w:cstheme="majorHAnsi"/>
        </w:rPr>
        <w:t>Grantobiorcę</w:t>
      </w:r>
      <w:proofErr w:type="spellEnd"/>
      <w:r w:rsidRPr="001B7308">
        <w:rPr>
          <w:rFonts w:asciiTheme="majorHAnsi" w:hAnsiTheme="majorHAnsi" w:cstheme="majorHAnsi"/>
          <w:spacing w:val="-3"/>
        </w:rPr>
        <w:t xml:space="preserve"> </w:t>
      </w:r>
      <w:r w:rsidRPr="001B7308">
        <w:rPr>
          <w:rFonts w:asciiTheme="majorHAnsi" w:hAnsiTheme="majorHAnsi" w:cstheme="majorHAnsi"/>
        </w:rPr>
        <w:t>do</w:t>
      </w:r>
      <w:r w:rsidRPr="001B7308">
        <w:rPr>
          <w:rFonts w:asciiTheme="majorHAnsi" w:hAnsiTheme="majorHAnsi" w:cstheme="majorHAnsi"/>
          <w:spacing w:val="-7"/>
        </w:rPr>
        <w:t xml:space="preserve"> </w:t>
      </w:r>
      <w:r w:rsidRPr="001B7308">
        <w:rPr>
          <w:rFonts w:asciiTheme="majorHAnsi" w:hAnsiTheme="majorHAnsi" w:cstheme="majorHAnsi"/>
        </w:rPr>
        <w:t>ewentualnych</w:t>
      </w:r>
      <w:r w:rsidRPr="001B7308">
        <w:rPr>
          <w:rFonts w:asciiTheme="majorHAnsi" w:hAnsiTheme="majorHAnsi" w:cstheme="majorHAnsi"/>
          <w:spacing w:val="-5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uzupełnień.</w:t>
      </w:r>
    </w:p>
    <w:p w14:paraId="56F723A6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ma 7 dni od otrzymania informacji na usunięcie/uzupełnienie nieprawidłowości pod</w:t>
      </w:r>
      <w:r w:rsidRPr="001B7308">
        <w:rPr>
          <w:rFonts w:asciiTheme="majorHAnsi" w:hAnsiTheme="majorHAnsi" w:cstheme="majorHAnsi"/>
          <w:spacing w:val="40"/>
        </w:rPr>
        <w:t xml:space="preserve"> </w:t>
      </w:r>
      <w:r w:rsidRPr="001B7308">
        <w:rPr>
          <w:rFonts w:asciiTheme="majorHAnsi" w:hAnsiTheme="majorHAnsi" w:cstheme="majorHAnsi"/>
        </w:rPr>
        <w:t>rygorem zwrotu przyznanej dotacji. W szczególnych przypadkach losowych LGD może przedłużyć wskazany termin. Przedłużenia udziela się na pisemny wniosek wraz z uzasadnieniem.</w:t>
      </w:r>
    </w:p>
    <w:p w14:paraId="621F88E5" w14:textId="7EB514EA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Wezwanie o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którym mowa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 xml:space="preserve">ust. </w:t>
      </w:r>
      <w:r w:rsidR="00E03AAC" w:rsidRPr="00E03AAC">
        <w:rPr>
          <w:rFonts w:asciiTheme="majorHAnsi" w:hAnsiTheme="majorHAnsi" w:cstheme="majorHAnsi"/>
          <w:color w:val="EE0000"/>
        </w:rPr>
        <w:t>4</w:t>
      </w:r>
      <w:r w:rsidRPr="001B7308">
        <w:rPr>
          <w:rFonts w:asciiTheme="majorHAnsi" w:hAnsiTheme="majorHAnsi" w:cstheme="majorHAnsi"/>
        </w:rPr>
        <w:t xml:space="preserve"> przekazywane jest poprzez system IT LGD</w:t>
      </w:r>
      <w:r w:rsidRPr="001B7308">
        <w:rPr>
          <w:rFonts w:asciiTheme="majorHAnsi" w:hAnsiTheme="majorHAnsi" w:cstheme="majorHAnsi"/>
          <w:spacing w:val="-2"/>
        </w:rPr>
        <w:t>.</w:t>
      </w:r>
    </w:p>
    <w:p w14:paraId="6ED3A11D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  <w:spacing w:val="-2"/>
        </w:rPr>
      </w:pPr>
      <w:r w:rsidRPr="001B7308">
        <w:rPr>
          <w:rFonts w:asciiTheme="majorHAnsi" w:hAnsiTheme="majorHAnsi" w:cstheme="majorHAnsi"/>
          <w:spacing w:val="-2"/>
        </w:rPr>
        <w:t xml:space="preserve">Jeżeli po złożeniu uzupełnień i po dokonaniu ponownej weryfikacji wniosek o rozliczenie grantu nadal zawiera błędy lub nieścisłości mogące uniemożliwić rozliczenie grantu, LGD może wezwać </w:t>
      </w:r>
      <w:proofErr w:type="spellStart"/>
      <w:r w:rsidRPr="001B7308">
        <w:rPr>
          <w:rFonts w:asciiTheme="majorHAnsi" w:hAnsiTheme="majorHAnsi" w:cstheme="majorHAnsi"/>
          <w:spacing w:val="-2"/>
        </w:rPr>
        <w:t>grantobiorcę</w:t>
      </w:r>
      <w:proofErr w:type="spellEnd"/>
      <w:r w:rsidRPr="001B7308">
        <w:rPr>
          <w:rFonts w:asciiTheme="majorHAnsi" w:hAnsiTheme="majorHAnsi" w:cstheme="majorHAnsi"/>
          <w:spacing w:val="-2"/>
        </w:rPr>
        <w:t xml:space="preserve"> ,poprzez system IT LGD, do poprawy lub uzupełnienia wniosku o rozliczenie grantu lub złożonych  wraz z nim dokumentów, bądź dodatkowych wyjaśnień, w terminie nieprzekraczającym 5 dni od</w:t>
      </w:r>
      <w:r w:rsidRPr="001B7308">
        <w:rPr>
          <w:rFonts w:asciiTheme="majorHAnsi" w:hAnsiTheme="majorHAnsi" w:cstheme="majorHAnsi"/>
        </w:rPr>
        <w:t xml:space="preserve"> </w:t>
      </w:r>
      <w:r w:rsidRPr="001B7308">
        <w:rPr>
          <w:rFonts w:asciiTheme="majorHAnsi" w:hAnsiTheme="majorHAnsi" w:cstheme="majorHAnsi"/>
          <w:spacing w:val="-2"/>
        </w:rPr>
        <w:t>otrzymania informacji.</w:t>
      </w:r>
    </w:p>
    <w:p w14:paraId="47D8D344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lastRenderedPageBreak/>
        <w:t xml:space="preserve">Jeżeli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nie złożył wyjaśnień i/lub nie usunął braków, LGD rozpatruje wniosek o rozliczenie grantu w zakresie, w jakim zostało złożone do LGD oraz na podstawie dołączonych do niego i poprawnie sporządzonych załączników.</w:t>
      </w:r>
    </w:p>
    <w:p w14:paraId="642DA9BF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Nie złożenie wniosku o rozliczenie grantu lub nie złożenie go w terminie może skutkować obowiązkiem zwrotu przyznanego grantu.</w:t>
      </w:r>
    </w:p>
    <w:p w14:paraId="46D6009E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Dodatkowo ustalenia poczynione w trakcie kontroli mogą prowadzić do korekty wydatków w ramach realizacji grantu.</w:t>
      </w:r>
    </w:p>
    <w:p w14:paraId="1AE28D62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W uzasadnionych przypadkach w wyniku kontroli wydawane są zalecenia pokontrolne, a </w:t>
      </w: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</w:rPr>
        <w:t xml:space="preserve"> zobowiązany jest do przeprowadzenia działań naprawczych w wyznaczonym terminie.</w:t>
      </w:r>
    </w:p>
    <w:p w14:paraId="0056B63B" w14:textId="77777777" w:rsidR="00AC5305" w:rsidRPr="001B7308" w:rsidRDefault="00AC5305">
      <w:pPr>
        <w:pStyle w:val="Akapitzlist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proofErr w:type="spellStart"/>
      <w:r w:rsidRPr="001B7308">
        <w:rPr>
          <w:rFonts w:asciiTheme="majorHAnsi" w:hAnsiTheme="majorHAnsi" w:cstheme="majorHAnsi"/>
        </w:rPr>
        <w:t>Grantobiorca</w:t>
      </w:r>
      <w:proofErr w:type="spellEnd"/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zobowiązany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jest do niezwłocznego informowania LGD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w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formie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komunikacji elektronicznej</w:t>
      </w:r>
      <w:r w:rsidRPr="001B7308">
        <w:rPr>
          <w:rFonts w:asciiTheme="majorHAnsi" w:hAnsiTheme="majorHAnsi" w:cstheme="majorHAnsi"/>
          <w:spacing w:val="-1"/>
        </w:rPr>
        <w:t xml:space="preserve"> </w:t>
      </w:r>
      <w:r w:rsidRPr="001B7308">
        <w:rPr>
          <w:rFonts w:asciiTheme="majorHAnsi" w:hAnsiTheme="majorHAnsi" w:cstheme="majorHAnsi"/>
        </w:rPr>
        <w:t>o problemach</w:t>
      </w:r>
      <w:r w:rsidRPr="001B7308">
        <w:rPr>
          <w:rFonts w:asciiTheme="majorHAnsi" w:hAnsiTheme="majorHAnsi" w:cstheme="majorHAnsi"/>
          <w:spacing w:val="-2"/>
        </w:rPr>
        <w:t xml:space="preserve"> </w:t>
      </w:r>
      <w:r w:rsidRPr="001B7308">
        <w:rPr>
          <w:rFonts w:asciiTheme="majorHAnsi" w:hAnsiTheme="majorHAnsi" w:cstheme="majorHAnsi"/>
        </w:rPr>
        <w:t>w realizacji zadania, w szczególności o zamiarze zaprzestania jej realizacji.</w:t>
      </w:r>
    </w:p>
    <w:p w14:paraId="54A59A9A" w14:textId="77777777" w:rsidR="009F7BDD" w:rsidRPr="00C71E6D" w:rsidRDefault="009F7BDD" w:rsidP="001F273D">
      <w:pPr>
        <w:keepNext/>
        <w:keepLines/>
        <w:spacing w:before="240" w:after="0"/>
        <w:jc w:val="center"/>
        <w:outlineLvl w:val="1"/>
        <w:rPr>
          <w:rFonts w:asciiTheme="majorHAnsi" w:eastAsiaTheme="majorEastAsia" w:hAnsiTheme="majorHAnsi" w:cstheme="majorHAnsi"/>
          <w:color w:val="002060"/>
          <w:sz w:val="24"/>
          <w:szCs w:val="24"/>
        </w:rPr>
      </w:pPr>
      <w:r w:rsidRPr="00C71E6D">
        <w:rPr>
          <w:rFonts w:asciiTheme="majorHAnsi" w:eastAsiaTheme="majorEastAsia" w:hAnsiTheme="majorHAnsi" w:cstheme="majorHAnsi"/>
          <w:color w:val="002060"/>
          <w:sz w:val="24"/>
          <w:szCs w:val="24"/>
        </w:rPr>
        <w:t>Udostępnianie dokumentacji oraz jej archiwizacja</w:t>
      </w:r>
    </w:p>
    <w:p w14:paraId="7028D824" w14:textId="77777777" w:rsidR="009F7BDD" w:rsidRPr="001B7308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§28</w:t>
      </w:r>
    </w:p>
    <w:p w14:paraId="69F8C0E1" w14:textId="77777777" w:rsidR="009F7BDD" w:rsidRPr="001B7308" w:rsidRDefault="009F7B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Wnioskodawca ma prawo wglądu w dokumenty związane z oceną złożonego przez niego wniosku.</w:t>
      </w:r>
    </w:p>
    <w:p w14:paraId="070C75D9" w14:textId="77777777" w:rsidR="009F7BDD" w:rsidRPr="001B7308" w:rsidRDefault="009F7BD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Dokumenty o których mowa w ust. 1 udostępniane są zgodnie z ustawą o dostępie do informacji publicznej Dz. U. z 2022 r. poz. 902.</w:t>
      </w:r>
    </w:p>
    <w:p w14:paraId="0411ADD9" w14:textId="77777777" w:rsidR="009F7BDD" w:rsidRPr="001B7308" w:rsidRDefault="009F7BDD" w:rsidP="001F273D">
      <w:pPr>
        <w:tabs>
          <w:tab w:val="left" w:pos="-3060"/>
        </w:tabs>
        <w:spacing w:before="120" w:after="240" w:line="240" w:lineRule="auto"/>
        <w:jc w:val="center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§29</w:t>
      </w:r>
    </w:p>
    <w:p w14:paraId="35471129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Dokumentacja konkursowa związana z konkursem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oraz oceną i wyborem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 przechowywana jest w Biurze LGD. </w:t>
      </w:r>
    </w:p>
    <w:p w14:paraId="026A15A2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Ogłoszenia o konkursie na wybór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, listy wniosków oraz inne dokumenty publikowane na stronie LGD, podlegają archiwizacji na stronie internetowej LGD. </w:t>
      </w:r>
    </w:p>
    <w:p w14:paraId="3ACCA31F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Pozostałe dokumenty wytworzone w procesie obsługi wniosku lub wyboru </w:t>
      </w:r>
      <w:proofErr w:type="spellStart"/>
      <w:r w:rsidRPr="001B7308">
        <w:rPr>
          <w:rFonts w:asciiTheme="majorHAnsi" w:hAnsiTheme="majorHAnsi" w:cstheme="majorHAnsi"/>
        </w:rPr>
        <w:t>grantobiorców</w:t>
      </w:r>
      <w:proofErr w:type="spellEnd"/>
      <w:r w:rsidRPr="001B7308">
        <w:rPr>
          <w:rFonts w:asciiTheme="majorHAnsi" w:hAnsiTheme="majorHAnsi" w:cstheme="majorHAnsi"/>
        </w:rPr>
        <w:t xml:space="preserve">, są przechowywane i archiwizowane w LGD, zgodnie z wewnętrznymi regulacjami. </w:t>
      </w:r>
    </w:p>
    <w:p w14:paraId="579AA9BD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5" w:hanging="357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>Regulacje o których mowa w ust. 3 muszą być zgodne z ustawą o ochronie danych osobowych.</w:t>
      </w:r>
    </w:p>
    <w:p w14:paraId="636EA175" w14:textId="77777777" w:rsidR="009F7BDD" w:rsidRPr="001B7308" w:rsidRDefault="009F7BD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66"/>
        <w:jc w:val="both"/>
        <w:rPr>
          <w:rFonts w:asciiTheme="majorHAnsi" w:hAnsiTheme="majorHAnsi" w:cstheme="majorHAnsi"/>
        </w:rPr>
      </w:pPr>
      <w:r w:rsidRPr="001B7308">
        <w:rPr>
          <w:rFonts w:asciiTheme="majorHAnsi" w:hAnsiTheme="majorHAnsi" w:cstheme="majorHAnsi"/>
        </w:rPr>
        <w:t xml:space="preserve">Dokumentacja przechowywana jest przez LGD przez cały okres trwałości projektów. </w:t>
      </w:r>
    </w:p>
    <w:p w14:paraId="339BCE58" w14:textId="77777777" w:rsidR="00A75210" w:rsidRPr="001B7308" w:rsidRDefault="00A75210" w:rsidP="001F273D">
      <w:pPr>
        <w:widowControl w:val="0"/>
        <w:tabs>
          <w:tab w:val="left" w:pos="580"/>
        </w:tabs>
        <w:autoSpaceDE w:val="0"/>
        <w:autoSpaceDN w:val="0"/>
        <w:spacing w:after="0" w:line="276" w:lineRule="auto"/>
        <w:ind w:right="214"/>
        <w:jc w:val="both"/>
        <w:rPr>
          <w:rFonts w:asciiTheme="majorHAnsi" w:hAnsiTheme="majorHAnsi" w:cstheme="majorHAnsi"/>
        </w:rPr>
      </w:pPr>
    </w:p>
    <w:p w14:paraId="7A23A119" w14:textId="77777777" w:rsidR="00A75210" w:rsidRPr="00332D9F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Wykaz załączników</w:t>
      </w:r>
    </w:p>
    <w:p w14:paraId="43E8408E" w14:textId="77777777" w:rsidR="00A75210" w:rsidRPr="00332D9F" w:rsidRDefault="00A75210" w:rsidP="00A752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eastAsia="Calibri" w:hAnsiTheme="majorHAnsi" w:cstheme="majorHAnsi"/>
          <w:sz w:val="20"/>
          <w:szCs w:val="20"/>
          <w:lang w:eastAsia="pl-PL"/>
        </w:rPr>
      </w:pPr>
    </w:p>
    <w:p w14:paraId="10C869DB" w14:textId="269BDC22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Wniosek o powierzenie grantu</w:t>
      </w:r>
    </w:p>
    <w:p w14:paraId="400166D2" w14:textId="27824C0E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2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Rejestr złożonych wniosków</w:t>
      </w:r>
    </w:p>
    <w:p w14:paraId="61080840" w14:textId="593D80C8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3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Oświadczenie o interesach i powiązaniach</w:t>
      </w:r>
    </w:p>
    <w:p w14:paraId="009ED955" w14:textId="7777777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4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Rejestr interesów członka Rady LGD</w:t>
      </w:r>
    </w:p>
    <w:p w14:paraId="1C8D9BAF" w14:textId="3BBAF22E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5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Oświadczenia o braku  konfliktu interesów i zachowaniu poufności</w:t>
      </w:r>
    </w:p>
    <w:p w14:paraId="69044640" w14:textId="55FFD165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6a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Indywidualna karta weryfikacji formalnej</w:t>
      </w:r>
    </w:p>
    <w:p w14:paraId="6408042E" w14:textId="71C42B12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6b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weryfikacji formalnej</w:t>
      </w:r>
    </w:p>
    <w:p w14:paraId="2295327A" w14:textId="7DC911E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7a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Indywidualna karta oceny merytorycznej w zakresie spełniania warunków udzielenia wsparcia (w tym zgodności z LSR)</w:t>
      </w:r>
    </w:p>
    <w:p w14:paraId="50BE3D06" w14:textId="605F648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7b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oceny merytorycznej w zakresie spełniania warunków udzielenia wsparcia</w:t>
      </w:r>
    </w:p>
    <w:p w14:paraId="7BC2B18C" w14:textId="25A93D5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8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Wzór pisma o uzupełnienia </w:t>
      </w:r>
    </w:p>
    <w:p w14:paraId="2D37ECB1" w14:textId="78BD6F44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lastRenderedPageBreak/>
        <w:t>Załącznik nr 9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Karta oceny zgodności z kryteriami wyboru </w:t>
      </w:r>
    </w:p>
    <w:p w14:paraId="55801026" w14:textId="581B2C5C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10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Karta oceny zgodności z kryteriami wyboru oraz ustalenia kwoty wsparcia</w:t>
      </w:r>
    </w:p>
    <w:p w14:paraId="2CF87772" w14:textId="39E1B367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nr11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a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Lista rankingowa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(ocena)</w:t>
      </w:r>
    </w:p>
    <w:p w14:paraId="47E321E6" w14:textId="3821C0E6" w:rsidR="007B6534" w:rsidRPr="00332D9F" w:rsidRDefault="007B653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11b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Lista rankingowa</w:t>
      </w:r>
    </w:p>
    <w:p w14:paraId="1E2EA14E" w14:textId="7AEB3DEF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12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Uchwała w sprawie wyboru operacji</w:t>
      </w:r>
    </w:p>
    <w:p w14:paraId="061D3B8E" w14:textId="4E66417C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13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a 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Pismo informujące </w:t>
      </w:r>
      <w:proofErr w:type="spellStart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grantobiorcę</w:t>
      </w:r>
      <w:proofErr w:type="spellEnd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o wynikach 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oceny</w:t>
      </w:r>
    </w:p>
    <w:p w14:paraId="140F64C1" w14:textId="5F809D84" w:rsidR="007B6534" w:rsidRPr="00332D9F" w:rsidRDefault="007B653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Załącznik nr 13b </w:t>
      </w:r>
      <w:r w:rsid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         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Pismo informujące </w:t>
      </w:r>
      <w:proofErr w:type="spellStart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grantobiorcę</w:t>
      </w:r>
      <w:proofErr w:type="spellEnd"/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 xml:space="preserve"> o wynikach wyboru </w:t>
      </w:r>
    </w:p>
    <w:p w14:paraId="7DEEEF0B" w14:textId="3D1E160C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</w:t>
      </w:r>
      <w:r w:rsidR="007B6534"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4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>Umowa o powierzenie grantu</w:t>
      </w:r>
    </w:p>
    <w:p w14:paraId="52E6C515" w14:textId="0866B48B" w:rsidR="00A75210" w:rsidRPr="00332D9F" w:rsidRDefault="00A75210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sz w:val="20"/>
          <w:szCs w:val="20"/>
          <w:lang w:eastAsia="pl-PL"/>
        </w:rPr>
      </w:pP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>Załącznik nr 15</w:t>
      </w:r>
      <w:r w:rsidRPr="00332D9F">
        <w:rPr>
          <w:rFonts w:asciiTheme="majorHAnsi" w:eastAsia="Calibri" w:hAnsiTheme="majorHAnsi" w:cstheme="majorHAnsi"/>
          <w:sz w:val="20"/>
          <w:szCs w:val="20"/>
          <w:lang w:eastAsia="pl-PL"/>
        </w:rPr>
        <w:tab/>
        <w:t xml:space="preserve">Wniosek o rozliczenie grantu </w:t>
      </w:r>
    </w:p>
    <w:sectPr w:rsidR="00A75210" w:rsidRPr="00332D9F" w:rsidSect="005D13C6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1E16C" w14:textId="77777777" w:rsidR="00DE06DA" w:rsidRDefault="00DE06DA">
      <w:pPr>
        <w:spacing w:after="0" w:line="240" w:lineRule="auto"/>
      </w:pPr>
      <w:r>
        <w:separator/>
      </w:r>
    </w:p>
  </w:endnote>
  <w:endnote w:type="continuationSeparator" w:id="0">
    <w:p w14:paraId="5CB1D9EC" w14:textId="77777777" w:rsidR="00DE06DA" w:rsidRDefault="00DE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8CC1" w14:textId="77777777" w:rsidR="009759E4" w:rsidRDefault="006867F9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0363" wp14:editId="243CA41D">
              <wp:simplePos x="0" y="0"/>
              <wp:positionH relativeFrom="page">
                <wp:posOffset>6696202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70BA63" w14:textId="77777777" w:rsidR="009759E4" w:rsidRDefault="006867F9">
                          <w:pPr>
                            <w:pStyle w:val="Tekstpodstawowy"/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D6517F">
                            <w:rPr>
                              <w:rFonts w:ascii="Carlito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7.25pt;margin-top:780.9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q0RES+MAAAAPAQAADwAAAGRycy9kb3ducmV2LnhtbEyPzU7DMBCE70i8g7VI&#10;3KidivQnxKlQUcUBcWgBiaMbL3FEbEexm7pvz+ZUbju7o9lvyk2yHRtxCK13ErKZAIau9rp1jYTP&#10;j93DCliIymnVeYcSLhhgU93elKrQ/uz2OB5iwyjEhUJJMDH2BeehNmhVmPkeHd1+/GBVJDk0XA/q&#10;TOG243MhFtyq1tEHo3rcGqx/Dycr4Wvb797St1HvY65fX+bL/WWok5T3d+n5CVjEFK9mmPAJHSpi&#10;OvqT04F1pEX+mJOXpnyRUYvJI9ZZBuw47VbLNfCq5P97VH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q0RES+MAAAAPAQAADwAAAAAAAAAAAAAAAAAABAAAZHJzL2Rvd25yZXYueG1s&#10;UEsFBgAAAAAEAAQA8wAAABAFAAAAAA==&#10;" filled="f" stroked="f">
              <v:path arrowok="t"/>
              <v:textbox inset="0,0,0,0">
                <w:txbxContent>
                  <w:p w14:paraId="4570BA63" w14:textId="77777777" w:rsidR="009759E4" w:rsidRDefault="006867F9">
                    <w:pPr>
                      <w:pStyle w:val="Tekstpodstawowy"/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D6517F">
                      <w:rPr>
                        <w:rFonts w:ascii="Carlito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27875" w14:textId="77777777" w:rsidR="00DE06DA" w:rsidRDefault="00DE06DA">
      <w:pPr>
        <w:spacing w:after="0" w:line="240" w:lineRule="auto"/>
      </w:pPr>
      <w:r>
        <w:separator/>
      </w:r>
    </w:p>
  </w:footnote>
  <w:footnote w:type="continuationSeparator" w:id="0">
    <w:p w14:paraId="4686A338" w14:textId="77777777" w:rsidR="00DE06DA" w:rsidRDefault="00DE0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C1"/>
    <w:multiLevelType w:val="hybridMultilevel"/>
    <w:tmpl w:val="D820FEC0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755F11"/>
    <w:multiLevelType w:val="hybridMultilevel"/>
    <w:tmpl w:val="BF64F516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A6565"/>
    <w:multiLevelType w:val="hybridMultilevel"/>
    <w:tmpl w:val="3D7C50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4"/>
      <w:numFmt w:val="bullet"/>
      <w:lvlText w:val=""/>
      <w:lvlJc w:val="left"/>
      <w:pPr>
        <w:ind w:left="1788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3B6CFE"/>
    <w:multiLevelType w:val="multilevel"/>
    <w:tmpl w:val="3A866E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831FF5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997649"/>
    <w:multiLevelType w:val="hybridMultilevel"/>
    <w:tmpl w:val="3FB6A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0512A28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672173"/>
    <w:multiLevelType w:val="hybridMultilevel"/>
    <w:tmpl w:val="009E2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BB0E1BC">
      <w:start w:val="4"/>
      <w:numFmt w:val="bullet"/>
      <w:lvlText w:val=""/>
      <w:lvlJc w:val="left"/>
      <w:pPr>
        <w:ind w:left="1788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30E33BB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D7B94"/>
    <w:multiLevelType w:val="hybridMultilevel"/>
    <w:tmpl w:val="AF527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14603E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900057"/>
    <w:multiLevelType w:val="multilevel"/>
    <w:tmpl w:val="7870DC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5DB4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9539B4"/>
    <w:multiLevelType w:val="hybridMultilevel"/>
    <w:tmpl w:val="D4AE9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795FC3"/>
    <w:multiLevelType w:val="hybridMultilevel"/>
    <w:tmpl w:val="E934269C"/>
    <w:lvl w:ilvl="0" w:tplc="28BE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835721"/>
    <w:multiLevelType w:val="multilevel"/>
    <w:tmpl w:val="976A49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D083B98"/>
    <w:multiLevelType w:val="hybridMultilevel"/>
    <w:tmpl w:val="225EC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D45BC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96359CA"/>
    <w:multiLevelType w:val="multilevel"/>
    <w:tmpl w:val="DD3E4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75624"/>
    <w:multiLevelType w:val="hybridMultilevel"/>
    <w:tmpl w:val="ECBA3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232FC9"/>
    <w:multiLevelType w:val="hybridMultilevel"/>
    <w:tmpl w:val="E79E60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E755831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616ABA"/>
    <w:multiLevelType w:val="hybridMultilevel"/>
    <w:tmpl w:val="6B98FD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5D77A1F"/>
    <w:multiLevelType w:val="multilevel"/>
    <w:tmpl w:val="A38A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866D3"/>
    <w:multiLevelType w:val="hybridMultilevel"/>
    <w:tmpl w:val="4C302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5B1F5F"/>
    <w:multiLevelType w:val="multilevel"/>
    <w:tmpl w:val="7040A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3B625A6"/>
    <w:multiLevelType w:val="hybridMultilevel"/>
    <w:tmpl w:val="AA68C3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B0E1BC">
      <w:start w:val="4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FF4E0B8E">
      <w:start w:val="1"/>
      <w:numFmt w:val="decimal"/>
      <w:lvlText w:val="%3."/>
      <w:lvlJc w:val="left"/>
      <w:pPr>
        <w:ind w:left="3060" w:hanging="10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533A1"/>
    <w:multiLevelType w:val="hybridMultilevel"/>
    <w:tmpl w:val="D8DAA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11B4B"/>
    <w:multiLevelType w:val="hybridMultilevel"/>
    <w:tmpl w:val="5D9A6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B10CFE"/>
    <w:multiLevelType w:val="hybridMultilevel"/>
    <w:tmpl w:val="5B3ED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BB0E1BC">
      <w:start w:val="4"/>
      <w:numFmt w:val="bullet"/>
      <w:lvlText w:val="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552EEF"/>
    <w:multiLevelType w:val="hybridMultilevel"/>
    <w:tmpl w:val="E594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861F42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25822"/>
    <w:multiLevelType w:val="multilevel"/>
    <w:tmpl w:val="1848EB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AB03201"/>
    <w:multiLevelType w:val="multilevel"/>
    <w:tmpl w:val="94C24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4F3016"/>
    <w:multiLevelType w:val="multilevel"/>
    <w:tmpl w:val="F244C5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69330DA"/>
    <w:multiLevelType w:val="hybridMultilevel"/>
    <w:tmpl w:val="A56C9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6D170DD"/>
    <w:multiLevelType w:val="hybridMultilevel"/>
    <w:tmpl w:val="02224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8861F42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4C5160"/>
    <w:multiLevelType w:val="hybridMultilevel"/>
    <w:tmpl w:val="946461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6"/>
  </w:num>
  <w:num w:numId="5">
    <w:abstractNumId w:val="30"/>
  </w:num>
  <w:num w:numId="6">
    <w:abstractNumId w:val="19"/>
  </w:num>
  <w:num w:numId="7">
    <w:abstractNumId w:val="3"/>
  </w:num>
  <w:num w:numId="8">
    <w:abstractNumId w:val="27"/>
  </w:num>
  <w:num w:numId="9">
    <w:abstractNumId w:val="26"/>
  </w:num>
  <w:num w:numId="10">
    <w:abstractNumId w:val="15"/>
  </w:num>
  <w:num w:numId="11">
    <w:abstractNumId w:val="33"/>
  </w:num>
  <w:num w:numId="12">
    <w:abstractNumId w:val="32"/>
  </w:num>
  <w:num w:numId="13">
    <w:abstractNumId w:val="12"/>
  </w:num>
  <w:num w:numId="14">
    <w:abstractNumId w:val="7"/>
  </w:num>
  <w:num w:numId="15">
    <w:abstractNumId w:val="10"/>
  </w:num>
  <w:num w:numId="16">
    <w:abstractNumId w:val="9"/>
  </w:num>
  <w:num w:numId="17">
    <w:abstractNumId w:val="4"/>
  </w:num>
  <w:num w:numId="18">
    <w:abstractNumId w:val="21"/>
  </w:num>
  <w:num w:numId="19">
    <w:abstractNumId w:val="34"/>
  </w:num>
  <w:num w:numId="20">
    <w:abstractNumId w:val="20"/>
  </w:num>
  <w:num w:numId="21">
    <w:abstractNumId w:val="22"/>
  </w:num>
  <w:num w:numId="22">
    <w:abstractNumId w:val="2"/>
  </w:num>
  <w:num w:numId="23">
    <w:abstractNumId w:val="18"/>
  </w:num>
  <w:num w:numId="24">
    <w:abstractNumId w:val="11"/>
  </w:num>
  <w:num w:numId="25">
    <w:abstractNumId w:val="5"/>
  </w:num>
  <w:num w:numId="26">
    <w:abstractNumId w:val="29"/>
  </w:num>
  <w:num w:numId="27">
    <w:abstractNumId w:val="8"/>
  </w:num>
  <w:num w:numId="28">
    <w:abstractNumId w:val="23"/>
  </w:num>
  <w:num w:numId="29">
    <w:abstractNumId w:val="17"/>
  </w:num>
  <w:num w:numId="30">
    <w:abstractNumId w:val="31"/>
  </w:num>
  <w:num w:numId="31">
    <w:abstractNumId w:val="25"/>
  </w:num>
  <w:num w:numId="32">
    <w:abstractNumId w:val="35"/>
  </w:num>
  <w:num w:numId="33">
    <w:abstractNumId w:val="36"/>
  </w:num>
  <w:num w:numId="34">
    <w:abstractNumId w:val="28"/>
  </w:num>
  <w:num w:numId="35">
    <w:abstractNumId w:val="0"/>
  </w:num>
  <w:num w:numId="36">
    <w:abstractNumId w:val="1"/>
  </w:num>
  <w:num w:numId="37">
    <w:abstractNumId w:val="14"/>
  </w:num>
  <w:num w:numId="3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A"/>
    <w:rsid w:val="0000795C"/>
    <w:rsid w:val="0004148A"/>
    <w:rsid w:val="00063020"/>
    <w:rsid w:val="0009157C"/>
    <w:rsid w:val="000958DB"/>
    <w:rsid w:val="000A1B11"/>
    <w:rsid w:val="000C642B"/>
    <w:rsid w:val="000F37C1"/>
    <w:rsid w:val="00143777"/>
    <w:rsid w:val="001B3A55"/>
    <w:rsid w:val="001B7308"/>
    <w:rsid w:val="001C4AF8"/>
    <w:rsid w:val="001D3DA5"/>
    <w:rsid w:val="001F273D"/>
    <w:rsid w:val="00201B1D"/>
    <w:rsid w:val="00201B2A"/>
    <w:rsid w:val="002A7146"/>
    <w:rsid w:val="002D523E"/>
    <w:rsid w:val="002E1A45"/>
    <w:rsid w:val="002E39DF"/>
    <w:rsid w:val="002F0EBC"/>
    <w:rsid w:val="0030087B"/>
    <w:rsid w:val="00332D9F"/>
    <w:rsid w:val="00336F5E"/>
    <w:rsid w:val="00342049"/>
    <w:rsid w:val="00354A21"/>
    <w:rsid w:val="00355593"/>
    <w:rsid w:val="003915B5"/>
    <w:rsid w:val="00393DE3"/>
    <w:rsid w:val="003D3FC6"/>
    <w:rsid w:val="004A1824"/>
    <w:rsid w:val="004B4085"/>
    <w:rsid w:val="004C39C5"/>
    <w:rsid w:val="004D41F6"/>
    <w:rsid w:val="00504262"/>
    <w:rsid w:val="00504575"/>
    <w:rsid w:val="00514C10"/>
    <w:rsid w:val="00536D03"/>
    <w:rsid w:val="00545536"/>
    <w:rsid w:val="0055491B"/>
    <w:rsid w:val="00584848"/>
    <w:rsid w:val="00596B7B"/>
    <w:rsid w:val="005B3C52"/>
    <w:rsid w:val="005D13C6"/>
    <w:rsid w:val="006867F9"/>
    <w:rsid w:val="006C6457"/>
    <w:rsid w:val="00723BBF"/>
    <w:rsid w:val="007312DC"/>
    <w:rsid w:val="007B6534"/>
    <w:rsid w:val="007F0E89"/>
    <w:rsid w:val="00807463"/>
    <w:rsid w:val="00814153"/>
    <w:rsid w:val="00893331"/>
    <w:rsid w:val="008B63D7"/>
    <w:rsid w:val="008B777A"/>
    <w:rsid w:val="008E2DC3"/>
    <w:rsid w:val="008E5793"/>
    <w:rsid w:val="009049E4"/>
    <w:rsid w:val="0091207B"/>
    <w:rsid w:val="00930417"/>
    <w:rsid w:val="009759E4"/>
    <w:rsid w:val="009F7BDD"/>
    <w:rsid w:val="00A325A2"/>
    <w:rsid w:val="00A75210"/>
    <w:rsid w:val="00A820DB"/>
    <w:rsid w:val="00AB3CAE"/>
    <w:rsid w:val="00AB4008"/>
    <w:rsid w:val="00AC5305"/>
    <w:rsid w:val="00AE7779"/>
    <w:rsid w:val="00B004AB"/>
    <w:rsid w:val="00B15C2C"/>
    <w:rsid w:val="00B21D06"/>
    <w:rsid w:val="00B24B5D"/>
    <w:rsid w:val="00B5122B"/>
    <w:rsid w:val="00B61801"/>
    <w:rsid w:val="00B6284F"/>
    <w:rsid w:val="00B76874"/>
    <w:rsid w:val="00BC1438"/>
    <w:rsid w:val="00BD3215"/>
    <w:rsid w:val="00BD3E7E"/>
    <w:rsid w:val="00BE1BE3"/>
    <w:rsid w:val="00C066A0"/>
    <w:rsid w:val="00C71E6D"/>
    <w:rsid w:val="00C9142E"/>
    <w:rsid w:val="00CB2168"/>
    <w:rsid w:val="00CC562A"/>
    <w:rsid w:val="00CF0F2F"/>
    <w:rsid w:val="00CF3651"/>
    <w:rsid w:val="00CF6871"/>
    <w:rsid w:val="00D060B6"/>
    <w:rsid w:val="00D16046"/>
    <w:rsid w:val="00D6517F"/>
    <w:rsid w:val="00D7228B"/>
    <w:rsid w:val="00D7535B"/>
    <w:rsid w:val="00DB3562"/>
    <w:rsid w:val="00DC70FD"/>
    <w:rsid w:val="00DD7A89"/>
    <w:rsid w:val="00DE06DA"/>
    <w:rsid w:val="00DF5B8E"/>
    <w:rsid w:val="00E03A9F"/>
    <w:rsid w:val="00E03AAC"/>
    <w:rsid w:val="00E93357"/>
    <w:rsid w:val="00ED03C9"/>
    <w:rsid w:val="00EF7BD1"/>
    <w:rsid w:val="00F3057B"/>
    <w:rsid w:val="00F706D9"/>
    <w:rsid w:val="00F716C9"/>
    <w:rsid w:val="00F97FD2"/>
    <w:rsid w:val="00FA7D0C"/>
    <w:rsid w:val="00FB3A43"/>
    <w:rsid w:val="00FD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5B3C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1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8DB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1B2A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Calibri"/>
      <w:lang w:val="en-US" w:bidi="en-US"/>
    </w:rPr>
  </w:style>
  <w:style w:type="character" w:customStyle="1" w:styleId="NagwekZnak">
    <w:name w:val="Nagłówek Znak"/>
    <w:basedOn w:val="Domylnaczcionkaakapitu"/>
    <w:link w:val="Nagwek"/>
    <w:rsid w:val="00201B2A"/>
    <w:rPr>
      <w:rFonts w:ascii="Calibri" w:eastAsia="Times New Roman" w:hAnsi="Calibri" w:cs="Calibri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5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01B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201B2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0958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58DB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D7228B"/>
    <w:pPr>
      <w:spacing w:after="0" w:line="240" w:lineRule="auto"/>
    </w:pPr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2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5B3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5894</Words>
  <Characters>35367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3</cp:revision>
  <cp:lastPrinted>2025-11-19T11:52:00Z</cp:lastPrinted>
  <dcterms:created xsi:type="dcterms:W3CDTF">2026-01-20T14:21:00Z</dcterms:created>
  <dcterms:modified xsi:type="dcterms:W3CDTF">2026-02-10T13:59:00Z</dcterms:modified>
</cp:coreProperties>
</file>